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6F016" w14:textId="77777777" w:rsidR="008E6BE1" w:rsidRDefault="008E6BE1" w:rsidP="008E6BE1">
      <w:pPr>
        <w:jc w:val="center"/>
        <w:rPr>
          <w:rFonts w:ascii="Verdana" w:hAnsi="Verdana" w:cs="Arial"/>
          <w:b/>
          <w:bCs/>
          <w:color w:val="004990"/>
          <w:sz w:val="72"/>
          <w:szCs w:val="24"/>
        </w:rPr>
      </w:pPr>
    </w:p>
    <w:p w14:paraId="320D22A7" w14:textId="77777777" w:rsidR="008E6BE1" w:rsidRDefault="008E6BE1" w:rsidP="008E6BE1">
      <w:pPr>
        <w:jc w:val="center"/>
        <w:rPr>
          <w:rFonts w:ascii="Verdana" w:hAnsi="Verdana" w:cs="Arial"/>
          <w:b/>
          <w:bCs/>
          <w:color w:val="004990"/>
          <w:sz w:val="72"/>
          <w:szCs w:val="24"/>
        </w:rPr>
      </w:pPr>
    </w:p>
    <w:p w14:paraId="7008A760" w14:textId="77777777" w:rsidR="008E6BE1" w:rsidRDefault="008E6BE1" w:rsidP="008E6BE1">
      <w:pPr>
        <w:jc w:val="center"/>
        <w:rPr>
          <w:rFonts w:ascii="Verdana" w:hAnsi="Verdana" w:cs="Arial"/>
          <w:b/>
          <w:bCs/>
          <w:color w:val="004990"/>
          <w:sz w:val="72"/>
          <w:szCs w:val="24"/>
        </w:rPr>
      </w:pPr>
    </w:p>
    <w:p w14:paraId="758EE0AC" w14:textId="77777777" w:rsidR="008E6BE1" w:rsidRDefault="008E6BE1" w:rsidP="008E6BE1">
      <w:pPr>
        <w:jc w:val="center"/>
        <w:rPr>
          <w:rFonts w:ascii="Verdana" w:hAnsi="Verdana" w:cs="Arial"/>
          <w:b/>
          <w:bCs/>
          <w:color w:val="004990"/>
          <w:sz w:val="72"/>
          <w:szCs w:val="24"/>
        </w:rPr>
      </w:pPr>
    </w:p>
    <w:p w14:paraId="545EE454" w14:textId="1709FF2B" w:rsidR="001200C9" w:rsidRPr="00482911" w:rsidRDefault="001200C9" w:rsidP="008E6BE1">
      <w:pPr>
        <w:jc w:val="center"/>
        <w:rPr>
          <w:rFonts w:ascii="Verdana" w:hAnsi="Verdana" w:cs="Arial"/>
          <w:b/>
          <w:bCs/>
          <w:color w:val="05345F"/>
          <w:sz w:val="56"/>
          <w:szCs w:val="56"/>
        </w:rPr>
      </w:pPr>
      <w:r w:rsidRPr="00482911">
        <w:rPr>
          <w:rFonts w:ascii="Verdana" w:hAnsi="Verdana" w:cs="Arial"/>
          <w:b/>
          <w:bCs/>
          <w:color w:val="05345F"/>
          <w:sz w:val="56"/>
          <w:szCs w:val="56"/>
        </w:rPr>
        <w:t>Health and Safety Policy</w:t>
      </w:r>
    </w:p>
    <w:p w14:paraId="2162F907" w14:textId="77777777" w:rsidR="001200C9" w:rsidRDefault="001200C9">
      <w:pPr>
        <w:rPr>
          <w:rFonts w:ascii="Verdana" w:hAnsi="Verdana" w:cs="Arial"/>
          <w:color w:val="004990"/>
          <w:sz w:val="72"/>
          <w:szCs w:val="24"/>
        </w:rPr>
      </w:pPr>
      <w:r>
        <w:rPr>
          <w:rFonts w:ascii="Verdana" w:hAnsi="Verdana" w:cs="Arial"/>
          <w:color w:val="004990"/>
          <w:sz w:val="72"/>
          <w:szCs w:val="24"/>
        </w:rPr>
        <w:br w:type="page"/>
      </w:r>
    </w:p>
    <w:sdt>
      <w:sdtPr>
        <w:rPr>
          <w:rFonts w:asciiTheme="minorHAnsi" w:eastAsiaTheme="minorEastAsia" w:hAnsiTheme="minorHAnsi" w:cstheme="minorBidi"/>
          <w:color w:val="auto"/>
          <w:sz w:val="22"/>
          <w:szCs w:val="22"/>
          <w:lang w:val="en-GB"/>
        </w:rPr>
        <w:id w:val="912122518"/>
        <w:docPartObj>
          <w:docPartGallery w:val="Table of Contents"/>
          <w:docPartUnique/>
        </w:docPartObj>
      </w:sdtPr>
      <w:sdtEndPr>
        <w:rPr>
          <w:b/>
          <w:bCs/>
          <w:noProof/>
        </w:rPr>
      </w:sdtEndPr>
      <w:sdtContent>
        <w:p w14:paraId="791BF78E" w14:textId="06018492" w:rsidR="001200C9" w:rsidRPr="00482911" w:rsidRDefault="001200C9">
          <w:pPr>
            <w:pStyle w:val="TOCHeading"/>
            <w:rPr>
              <w:rFonts w:ascii="Verdana" w:hAnsi="Verdana"/>
              <w:color w:val="05345F"/>
              <w:sz w:val="36"/>
              <w:szCs w:val="36"/>
            </w:rPr>
          </w:pPr>
          <w:r w:rsidRPr="00482911">
            <w:rPr>
              <w:rFonts w:ascii="Verdana" w:hAnsi="Verdana"/>
              <w:color w:val="05345F"/>
              <w:sz w:val="36"/>
              <w:szCs w:val="36"/>
            </w:rPr>
            <w:t>Contents</w:t>
          </w:r>
        </w:p>
        <w:p w14:paraId="034798B4" w14:textId="77777777" w:rsidR="001200C9" w:rsidRPr="001200C9" w:rsidRDefault="001200C9" w:rsidP="001200C9">
          <w:pPr>
            <w:rPr>
              <w:lang w:val="en-US"/>
            </w:rPr>
          </w:pPr>
        </w:p>
        <w:p w14:paraId="1D0CEC05" w14:textId="2B8BF705" w:rsidR="007A0280" w:rsidRPr="00482911" w:rsidRDefault="001200C9">
          <w:pPr>
            <w:pStyle w:val="TOC1"/>
            <w:tabs>
              <w:tab w:val="left" w:pos="660"/>
              <w:tab w:val="right" w:leader="dot" w:pos="9016"/>
            </w:tabs>
            <w:rPr>
              <w:rFonts w:ascii="Verdana" w:eastAsiaTheme="minorEastAsia" w:hAnsi="Verdana"/>
              <w:noProof/>
              <w:lang w:eastAsia="en-GB"/>
            </w:rPr>
          </w:pPr>
          <w:r>
            <w:fldChar w:fldCharType="begin"/>
          </w:r>
          <w:r>
            <w:instrText xml:space="preserve"> TOC \o "1-3" \h \z \u </w:instrText>
          </w:r>
          <w:r>
            <w:fldChar w:fldCharType="separate"/>
          </w:r>
          <w:hyperlink w:anchor="_Toc98843638" w:history="1">
            <w:r w:rsidR="007A0280" w:rsidRPr="00482911">
              <w:rPr>
                <w:rStyle w:val="Hyperlink"/>
                <w:rFonts w:ascii="Verdana" w:hAnsi="Verdana"/>
                <w:noProof/>
              </w:rPr>
              <w:t>1.</w:t>
            </w:r>
            <w:r w:rsidR="007A0280" w:rsidRPr="00482911">
              <w:rPr>
                <w:rFonts w:ascii="Verdana" w:eastAsiaTheme="minorEastAsia" w:hAnsi="Verdana"/>
                <w:noProof/>
                <w:lang w:eastAsia="en-GB"/>
              </w:rPr>
              <w:tab/>
            </w:r>
            <w:r w:rsidR="007A0280" w:rsidRPr="00482911">
              <w:rPr>
                <w:rStyle w:val="Hyperlink"/>
                <w:rFonts w:ascii="Verdana" w:hAnsi="Verdana"/>
                <w:noProof/>
              </w:rPr>
              <w:t>INTRODUCTION</w:t>
            </w:r>
            <w:r w:rsidR="007A0280" w:rsidRPr="00482911">
              <w:rPr>
                <w:rFonts w:ascii="Verdana" w:hAnsi="Verdana"/>
                <w:noProof/>
                <w:webHidden/>
              </w:rPr>
              <w:tab/>
            </w:r>
            <w:r w:rsidR="007A0280" w:rsidRPr="00482911">
              <w:rPr>
                <w:rFonts w:ascii="Verdana" w:hAnsi="Verdana"/>
                <w:noProof/>
                <w:webHidden/>
              </w:rPr>
              <w:fldChar w:fldCharType="begin"/>
            </w:r>
            <w:r w:rsidR="007A0280" w:rsidRPr="00482911">
              <w:rPr>
                <w:rFonts w:ascii="Verdana" w:hAnsi="Verdana"/>
                <w:noProof/>
                <w:webHidden/>
              </w:rPr>
              <w:instrText xml:space="preserve"> PAGEREF _Toc98843638 \h </w:instrText>
            </w:r>
            <w:r w:rsidR="007A0280" w:rsidRPr="00482911">
              <w:rPr>
                <w:rFonts w:ascii="Verdana" w:hAnsi="Verdana"/>
                <w:noProof/>
                <w:webHidden/>
              </w:rPr>
            </w:r>
            <w:r w:rsidR="007A0280" w:rsidRPr="00482911">
              <w:rPr>
                <w:rFonts w:ascii="Verdana" w:hAnsi="Verdana"/>
                <w:noProof/>
                <w:webHidden/>
              </w:rPr>
              <w:fldChar w:fldCharType="separate"/>
            </w:r>
            <w:r w:rsidR="00EA663E" w:rsidRPr="00482911">
              <w:rPr>
                <w:rFonts w:ascii="Verdana" w:hAnsi="Verdana"/>
                <w:noProof/>
                <w:webHidden/>
              </w:rPr>
              <w:t>4</w:t>
            </w:r>
            <w:r w:rsidR="007A0280" w:rsidRPr="00482911">
              <w:rPr>
                <w:rFonts w:ascii="Verdana" w:hAnsi="Verdana"/>
                <w:noProof/>
                <w:webHidden/>
              </w:rPr>
              <w:fldChar w:fldCharType="end"/>
            </w:r>
          </w:hyperlink>
        </w:p>
        <w:p w14:paraId="13C7324B" w14:textId="24E4DE1F" w:rsidR="007A0280" w:rsidRPr="00482911" w:rsidRDefault="007A0280">
          <w:pPr>
            <w:pStyle w:val="TOC1"/>
            <w:tabs>
              <w:tab w:val="left" w:pos="660"/>
              <w:tab w:val="right" w:leader="dot" w:pos="9016"/>
            </w:tabs>
            <w:rPr>
              <w:rFonts w:ascii="Verdana" w:eastAsiaTheme="minorEastAsia" w:hAnsi="Verdana"/>
              <w:noProof/>
              <w:lang w:eastAsia="en-GB"/>
            </w:rPr>
          </w:pPr>
          <w:hyperlink w:anchor="_Toc98843639" w:history="1">
            <w:r w:rsidRPr="00482911">
              <w:rPr>
                <w:rStyle w:val="Hyperlink"/>
                <w:rFonts w:ascii="Verdana" w:hAnsi="Verdana"/>
                <w:noProof/>
              </w:rPr>
              <w:t>2.</w:t>
            </w:r>
            <w:r w:rsidRPr="00482911">
              <w:rPr>
                <w:rFonts w:ascii="Verdana" w:eastAsiaTheme="minorEastAsia" w:hAnsi="Verdana"/>
                <w:noProof/>
                <w:lang w:eastAsia="en-GB"/>
              </w:rPr>
              <w:tab/>
            </w:r>
            <w:r w:rsidRPr="00482911">
              <w:rPr>
                <w:rStyle w:val="Hyperlink"/>
                <w:rFonts w:ascii="Verdana" w:hAnsi="Verdana"/>
                <w:noProof/>
              </w:rPr>
              <w:t>HEALTH AND SAFETY OBJECTIVES</w:t>
            </w:r>
            <w:r w:rsidRPr="00482911">
              <w:rPr>
                <w:rFonts w:ascii="Verdana" w:hAnsi="Verdana"/>
                <w:noProof/>
                <w:webHidden/>
              </w:rPr>
              <w:tab/>
            </w:r>
            <w:r w:rsidRPr="00482911">
              <w:rPr>
                <w:rFonts w:ascii="Verdana" w:hAnsi="Verdana"/>
                <w:noProof/>
                <w:webHidden/>
              </w:rPr>
              <w:fldChar w:fldCharType="begin"/>
            </w:r>
            <w:r w:rsidRPr="00482911">
              <w:rPr>
                <w:rFonts w:ascii="Verdana" w:hAnsi="Verdana"/>
                <w:noProof/>
                <w:webHidden/>
              </w:rPr>
              <w:instrText xml:space="preserve"> PAGEREF _Toc98843639 \h </w:instrText>
            </w:r>
            <w:r w:rsidRPr="00482911">
              <w:rPr>
                <w:rFonts w:ascii="Verdana" w:hAnsi="Verdana"/>
                <w:noProof/>
                <w:webHidden/>
              </w:rPr>
            </w:r>
            <w:r w:rsidRPr="00482911">
              <w:rPr>
                <w:rFonts w:ascii="Verdana" w:hAnsi="Verdana"/>
                <w:noProof/>
                <w:webHidden/>
              </w:rPr>
              <w:fldChar w:fldCharType="separate"/>
            </w:r>
            <w:r w:rsidR="00EA663E" w:rsidRPr="00482911">
              <w:rPr>
                <w:rFonts w:ascii="Verdana" w:hAnsi="Verdana"/>
                <w:noProof/>
                <w:webHidden/>
              </w:rPr>
              <w:t>4</w:t>
            </w:r>
            <w:r w:rsidRPr="00482911">
              <w:rPr>
                <w:rFonts w:ascii="Verdana" w:hAnsi="Verdana"/>
                <w:noProof/>
                <w:webHidden/>
              </w:rPr>
              <w:fldChar w:fldCharType="end"/>
            </w:r>
          </w:hyperlink>
        </w:p>
        <w:p w14:paraId="5BE133BF" w14:textId="152CC9B0" w:rsidR="007A0280" w:rsidRPr="00482911" w:rsidRDefault="007A0280">
          <w:pPr>
            <w:pStyle w:val="TOC1"/>
            <w:tabs>
              <w:tab w:val="left" w:pos="660"/>
              <w:tab w:val="right" w:leader="dot" w:pos="9016"/>
            </w:tabs>
            <w:rPr>
              <w:rFonts w:ascii="Verdana" w:eastAsiaTheme="minorEastAsia" w:hAnsi="Verdana"/>
              <w:noProof/>
              <w:lang w:eastAsia="en-GB"/>
            </w:rPr>
          </w:pPr>
          <w:hyperlink w:anchor="_Toc98843640" w:history="1">
            <w:r w:rsidRPr="00482911">
              <w:rPr>
                <w:rStyle w:val="Hyperlink"/>
                <w:rFonts w:ascii="Verdana" w:hAnsi="Verdana"/>
                <w:noProof/>
              </w:rPr>
              <w:t>3.</w:t>
            </w:r>
            <w:r w:rsidRPr="00482911">
              <w:rPr>
                <w:rFonts w:ascii="Verdana" w:eastAsiaTheme="minorEastAsia" w:hAnsi="Verdana"/>
                <w:noProof/>
                <w:lang w:eastAsia="en-GB"/>
              </w:rPr>
              <w:tab/>
            </w:r>
            <w:r w:rsidRPr="00482911">
              <w:rPr>
                <w:rStyle w:val="Hyperlink"/>
                <w:rFonts w:ascii="Verdana" w:hAnsi="Verdana"/>
                <w:noProof/>
              </w:rPr>
              <w:t>ORGANISATIONAL ROLES AND RESPONSIBILITIES</w:t>
            </w:r>
            <w:r w:rsidRPr="00482911">
              <w:rPr>
                <w:rFonts w:ascii="Verdana" w:hAnsi="Verdana"/>
                <w:noProof/>
                <w:webHidden/>
              </w:rPr>
              <w:tab/>
            </w:r>
            <w:r w:rsidRPr="00482911">
              <w:rPr>
                <w:rFonts w:ascii="Verdana" w:hAnsi="Verdana"/>
                <w:noProof/>
                <w:webHidden/>
              </w:rPr>
              <w:fldChar w:fldCharType="begin"/>
            </w:r>
            <w:r w:rsidRPr="00482911">
              <w:rPr>
                <w:rFonts w:ascii="Verdana" w:hAnsi="Verdana"/>
                <w:noProof/>
                <w:webHidden/>
              </w:rPr>
              <w:instrText xml:space="preserve"> PAGEREF _Toc98843640 \h </w:instrText>
            </w:r>
            <w:r w:rsidRPr="00482911">
              <w:rPr>
                <w:rFonts w:ascii="Verdana" w:hAnsi="Verdana"/>
                <w:noProof/>
                <w:webHidden/>
              </w:rPr>
            </w:r>
            <w:r w:rsidRPr="00482911">
              <w:rPr>
                <w:rFonts w:ascii="Verdana" w:hAnsi="Verdana"/>
                <w:noProof/>
                <w:webHidden/>
              </w:rPr>
              <w:fldChar w:fldCharType="separate"/>
            </w:r>
            <w:r w:rsidR="00EA663E" w:rsidRPr="00482911">
              <w:rPr>
                <w:rFonts w:ascii="Verdana" w:hAnsi="Verdana"/>
                <w:noProof/>
                <w:webHidden/>
              </w:rPr>
              <w:t>5</w:t>
            </w:r>
            <w:r w:rsidRPr="00482911">
              <w:rPr>
                <w:rFonts w:ascii="Verdana" w:hAnsi="Verdana"/>
                <w:noProof/>
                <w:webHidden/>
              </w:rPr>
              <w:fldChar w:fldCharType="end"/>
            </w:r>
          </w:hyperlink>
        </w:p>
        <w:p w14:paraId="698B11AF" w14:textId="6F4A4E2C" w:rsidR="007A0280" w:rsidRPr="00482911" w:rsidRDefault="007A0280">
          <w:pPr>
            <w:pStyle w:val="TOC1"/>
            <w:tabs>
              <w:tab w:val="left" w:pos="660"/>
              <w:tab w:val="right" w:leader="dot" w:pos="9016"/>
            </w:tabs>
            <w:rPr>
              <w:rFonts w:ascii="Verdana" w:eastAsiaTheme="minorEastAsia" w:hAnsi="Verdana"/>
              <w:noProof/>
              <w:lang w:eastAsia="en-GB"/>
            </w:rPr>
          </w:pPr>
          <w:hyperlink w:anchor="_Toc98843641" w:history="1">
            <w:r w:rsidRPr="00482911">
              <w:rPr>
                <w:rStyle w:val="Hyperlink"/>
                <w:rFonts w:ascii="Verdana" w:hAnsi="Verdana"/>
                <w:noProof/>
              </w:rPr>
              <w:t>4.</w:t>
            </w:r>
            <w:r w:rsidRPr="00482911">
              <w:rPr>
                <w:rFonts w:ascii="Verdana" w:eastAsiaTheme="minorEastAsia" w:hAnsi="Verdana"/>
                <w:noProof/>
                <w:lang w:eastAsia="en-GB"/>
              </w:rPr>
              <w:tab/>
            </w:r>
            <w:r w:rsidRPr="00482911">
              <w:rPr>
                <w:rStyle w:val="Hyperlink"/>
                <w:rFonts w:ascii="Verdana" w:hAnsi="Verdana"/>
                <w:noProof/>
              </w:rPr>
              <w:t>SPECIFIC ARRANGEMENTS</w:t>
            </w:r>
            <w:r w:rsidRPr="00482911">
              <w:rPr>
                <w:rFonts w:ascii="Verdana" w:hAnsi="Verdana"/>
                <w:noProof/>
                <w:webHidden/>
              </w:rPr>
              <w:tab/>
            </w:r>
            <w:r w:rsidRPr="00482911">
              <w:rPr>
                <w:rFonts w:ascii="Verdana" w:hAnsi="Verdana"/>
                <w:noProof/>
                <w:webHidden/>
              </w:rPr>
              <w:fldChar w:fldCharType="begin"/>
            </w:r>
            <w:r w:rsidRPr="00482911">
              <w:rPr>
                <w:rFonts w:ascii="Verdana" w:hAnsi="Verdana"/>
                <w:noProof/>
                <w:webHidden/>
              </w:rPr>
              <w:instrText xml:space="preserve"> PAGEREF _Toc98843641 \h </w:instrText>
            </w:r>
            <w:r w:rsidRPr="00482911">
              <w:rPr>
                <w:rFonts w:ascii="Verdana" w:hAnsi="Verdana"/>
                <w:noProof/>
                <w:webHidden/>
              </w:rPr>
            </w:r>
            <w:r w:rsidRPr="00482911">
              <w:rPr>
                <w:rFonts w:ascii="Verdana" w:hAnsi="Verdana"/>
                <w:noProof/>
                <w:webHidden/>
              </w:rPr>
              <w:fldChar w:fldCharType="separate"/>
            </w:r>
            <w:r w:rsidR="00EA663E" w:rsidRPr="00482911">
              <w:rPr>
                <w:rFonts w:ascii="Verdana" w:hAnsi="Verdana"/>
                <w:noProof/>
                <w:webHidden/>
              </w:rPr>
              <w:t>9</w:t>
            </w:r>
            <w:r w:rsidRPr="00482911">
              <w:rPr>
                <w:rFonts w:ascii="Verdana" w:hAnsi="Verdana"/>
                <w:noProof/>
                <w:webHidden/>
              </w:rPr>
              <w:fldChar w:fldCharType="end"/>
            </w:r>
          </w:hyperlink>
        </w:p>
        <w:p w14:paraId="1732449D" w14:textId="4916F487" w:rsidR="007A0280" w:rsidRPr="00482911" w:rsidRDefault="007A0280">
          <w:pPr>
            <w:pStyle w:val="TOC1"/>
            <w:tabs>
              <w:tab w:val="right" w:leader="dot" w:pos="9016"/>
            </w:tabs>
            <w:rPr>
              <w:rFonts w:ascii="Verdana" w:eastAsiaTheme="minorEastAsia" w:hAnsi="Verdana"/>
              <w:noProof/>
              <w:lang w:eastAsia="en-GB"/>
            </w:rPr>
          </w:pPr>
          <w:hyperlink w:anchor="_Toc98843642" w:history="1">
            <w:r w:rsidRPr="00482911">
              <w:rPr>
                <w:rStyle w:val="Hyperlink"/>
                <w:rFonts w:ascii="Verdana" w:hAnsi="Verdana"/>
                <w:noProof/>
              </w:rPr>
              <w:t>APPENDIX A – POLICY REVIEW AND REVISION SCHEDULE</w:t>
            </w:r>
            <w:r w:rsidRPr="00482911">
              <w:rPr>
                <w:rFonts w:ascii="Verdana" w:hAnsi="Verdana"/>
                <w:noProof/>
                <w:webHidden/>
              </w:rPr>
              <w:tab/>
            </w:r>
            <w:r w:rsidRPr="00482911">
              <w:rPr>
                <w:rFonts w:ascii="Verdana" w:hAnsi="Verdana"/>
                <w:noProof/>
                <w:webHidden/>
              </w:rPr>
              <w:fldChar w:fldCharType="begin"/>
            </w:r>
            <w:r w:rsidRPr="00482911">
              <w:rPr>
                <w:rFonts w:ascii="Verdana" w:hAnsi="Verdana"/>
                <w:noProof/>
                <w:webHidden/>
              </w:rPr>
              <w:instrText xml:space="preserve"> PAGEREF _Toc98843642 \h </w:instrText>
            </w:r>
            <w:r w:rsidRPr="00482911">
              <w:rPr>
                <w:rFonts w:ascii="Verdana" w:hAnsi="Verdana"/>
                <w:noProof/>
                <w:webHidden/>
              </w:rPr>
            </w:r>
            <w:r w:rsidRPr="00482911">
              <w:rPr>
                <w:rFonts w:ascii="Verdana" w:hAnsi="Verdana"/>
                <w:noProof/>
                <w:webHidden/>
              </w:rPr>
              <w:fldChar w:fldCharType="separate"/>
            </w:r>
            <w:r w:rsidR="00EA663E" w:rsidRPr="00482911">
              <w:rPr>
                <w:rFonts w:ascii="Verdana" w:hAnsi="Verdana"/>
                <w:noProof/>
                <w:webHidden/>
              </w:rPr>
              <w:t>11</w:t>
            </w:r>
            <w:r w:rsidRPr="00482911">
              <w:rPr>
                <w:rFonts w:ascii="Verdana" w:hAnsi="Verdana"/>
                <w:noProof/>
                <w:webHidden/>
              </w:rPr>
              <w:fldChar w:fldCharType="end"/>
            </w:r>
          </w:hyperlink>
        </w:p>
        <w:p w14:paraId="40F4F899" w14:textId="7E7EECEF" w:rsidR="001200C9" w:rsidRDefault="001200C9">
          <w:r>
            <w:rPr>
              <w:b/>
              <w:bCs/>
              <w:noProof/>
            </w:rPr>
            <w:fldChar w:fldCharType="end"/>
          </w:r>
        </w:p>
      </w:sdtContent>
    </w:sdt>
    <w:p w14:paraId="3320A990" w14:textId="7FDEBE66" w:rsidR="001200C9" w:rsidRDefault="001200C9">
      <w:r>
        <w:br w:type="page"/>
      </w:r>
    </w:p>
    <w:p w14:paraId="1F0FA1B1" w14:textId="77777777" w:rsidR="001200C9" w:rsidRPr="004605F9" w:rsidRDefault="001200C9" w:rsidP="001200C9">
      <w:pPr>
        <w:pStyle w:val="Heading1"/>
        <w:numPr>
          <w:ilvl w:val="0"/>
          <w:numId w:val="2"/>
        </w:numPr>
        <w:tabs>
          <w:tab w:val="num" w:pos="360"/>
        </w:tabs>
        <w:spacing w:after="120" w:line="360" w:lineRule="auto"/>
        <w:ind w:left="0" w:firstLine="0"/>
        <w:rPr>
          <w:rFonts w:ascii="Verdana" w:hAnsi="Verdana"/>
          <w:color w:val="05345F"/>
          <w:sz w:val="36"/>
          <w:szCs w:val="36"/>
        </w:rPr>
      </w:pPr>
      <w:bookmarkStart w:id="0" w:name="_Toc60923460"/>
      <w:bookmarkStart w:id="1" w:name="_Toc98843638"/>
      <w:r w:rsidRPr="004605F9">
        <w:rPr>
          <w:rFonts w:ascii="Verdana" w:hAnsi="Verdana"/>
          <w:color w:val="05345F"/>
          <w:sz w:val="36"/>
          <w:szCs w:val="36"/>
        </w:rPr>
        <w:t>INTRODUCTION</w:t>
      </w:r>
      <w:bookmarkEnd w:id="0"/>
      <w:bookmarkEnd w:id="1"/>
    </w:p>
    <w:p w14:paraId="35BAD31A" w14:textId="4241112F" w:rsidR="001200C9" w:rsidRPr="001B67F2" w:rsidRDefault="001200C9" w:rsidP="001200C9">
      <w:pPr>
        <w:pStyle w:val="NoSpacing"/>
        <w:numPr>
          <w:ilvl w:val="1"/>
          <w:numId w:val="1"/>
        </w:numPr>
        <w:spacing w:after="120" w:line="360" w:lineRule="auto"/>
        <w:ind w:left="993" w:hanging="633"/>
        <w:jc w:val="left"/>
        <w:rPr>
          <w:rFonts w:ascii="Verdana" w:hAnsi="Verdana"/>
        </w:rPr>
      </w:pPr>
      <w:r w:rsidRPr="001B67F2">
        <w:rPr>
          <w:rFonts w:ascii="Verdana" w:hAnsi="Verdana"/>
        </w:rPr>
        <w:t xml:space="preserve">This policy defines </w:t>
      </w:r>
      <w:r w:rsidR="00B619FB" w:rsidRPr="001B67F2">
        <w:rPr>
          <w:rFonts w:ascii="Verdana" w:hAnsi="Verdana"/>
        </w:rPr>
        <w:t>t</w:t>
      </w:r>
      <w:r w:rsidRPr="001B67F2">
        <w:rPr>
          <w:rFonts w:ascii="Verdana" w:hAnsi="Verdana"/>
        </w:rPr>
        <w:t>he means by which the Liverpool Diocesan Schools Trust (the Trust) endeavours to provide and maintain a working environment that ensures the health and safety of its employees, pupils, contractors and visitors.</w:t>
      </w:r>
    </w:p>
    <w:p w14:paraId="5B415114" w14:textId="77777777" w:rsidR="001200C9" w:rsidRPr="001B67F2" w:rsidRDefault="001200C9" w:rsidP="001200C9">
      <w:pPr>
        <w:pStyle w:val="NoSpacing"/>
        <w:numPr>
          <w:ilvl w:val="1"/>
          <w:numId w:val="1"/>
        </w:numPr>
        <w:spacing w:after="120" w:line="360" w:lineRule="auto"/>
        <w:ind w:left="993" w:hanging="633"/>
        <w:jc w:val="left"/>
        <w:rPr>
          <w:rFonts w:ascii="Verdana" w:hAnsi="Verdana"/>
        </w:rPr>
      </w:pPr>
      <w:r w:rsidRPr="001B67F2">
        <w:rPr>
          <w:rFonts w:ascii="Verdana" w:hAnsi="Verdana"/>
        </w:rPr>
        <w:t>The policy is applicable to all Liverpool Diocesan Schools Trust Employees, pupils, contractors and visitors.</w:t>
      </w:r>
    </w:p>
    <w:p w14:paraId="73D054CA" w14:textId="77777777" w:rsidR="001200C9" w:rsidRPr="001B67F2" w:rsidRDefault="001200C9" w:rsidP="001200C9">
      <w:pPr>
        <w:pStyle w:val="ListParagraph"/>
        <w:numPr>
          <w:ilvl w:val="1"/>
          <w:numId w:val="1"/>
        </w:numPr>
        <w:spacing w:after="120" w:line="360" w:lineRule="auto"/>
        <w:ind w:left="993" w:hanging="633"/>
        <w:contextualSpacing w:val="0"/>
        <w:rPr>
          <w:rFonts w:ascii="Verdana" w:hAnsi="Verdana" w:cs="Arial"/>
          <w:bCs/>
        </w:rPr>
      </w:pPr>
      <w:r w:rsidRPr="001B67F2">
        <w:rPr>
          <w:rFonts w:ascii="Verdana" w:hAnsi="Verdana" w:cs="Arial"/>
          <w:bCs/>
        </w:rPr>
        <w:t>We recognise that the success of this policy, which will be reviewed at least annually, relies on everyone being actively involved. We all have an important role to play in showing that good health and safety at work is good business.</w:t>
      </w:r>
    </w:p>
    <w:p w14:paraId="1A51B223" w14:textId="77777777" w:rsidR="001200C9" w:rsidRPr="004605F9" w:rsidRDefault="001200C9" w:rsidP="001200C9">
      <w:pPr>
        <w:pStyle w:val="Heading1"/>
        <w:numPr>
          <w:ilvl w:val="0"/>
          <w:numId w:val="1"/>
        </w:numPr>
        <w:tabs>
          <w:tab w:val="num" w:pos="360"/>
        </w:tabs>
        <w:spacing w:after="120" w:line="360" w:lineRule="auto"/>
        <w:ind w:left="0" w:firstLine="0"/>
        <w:rPr>
          <w:rFonts w:ascii="Verdana" w:hAnsi="Verdana"/>
          <w:color w:val="05345F"/>
          <w:sz w:val="36"/>
          <w:szCs w:val="36"/>
        </w:rPr>
      </w:pPr>
      <w:bookmarkStart w:id="2" w:name="_Toc60923461"/>
      <w:bookmarkStart w:id="3" w:name="_Toc98843639"/>
      <w:r w:rsidRPr="004605F9">
        <w:rPr>
          <w:rFonts w:ascii="Verdana" w:hAnsi="Verdana"/>
          <w:color w:val="05345F"/>
          <w:sz w:val="36"/>
          <w:szCs w:val="36"/>
        </w:rPr>
        <w:t>HEALTH AND SAFETY OBJECTIVES</w:t>
      </w:r>
      <w:bookmarkEnd w:id="2"/>
      <w:bookmarkEnd w:id="3"/>
    </w:p>
    <w:p w14:paraId="4B2B99CB" w14:textId="77777777" w:rsidR="001200C9" w:rsidRPr="001B67F2" w:rsidRDefault="001200C9" w:rsidP="001200C9">
      <w:pPr>
        <w:pStyle w:val="ListParagraph"/>
        <w:numPr>
          <w:ilvl w:val="1"/>
          <w:numId w:val="1"/>
        </w:numPr>
        <w:spacing w:after="120" w:line="360" w:lineRule="auto"/>
        <w:ind w:left="993" w:hanging="633"/>
        <w:contextualSpacing w:val="0"/>
        <w:rPr>
          <w:rFonts w:ascii="Verdana" w:hAnsi="Verdana" w:cs="Arial"/>
          <w:bCs/>
        </w:rPr>
      </w:pPr>
      <w:r w:rsidRPr="001B67F2">
        <w:rPr>
          <w:rFonts w:ascii="Verdana" w:hAnsi="Verdana" w:cs="Arial"/>
          <w:bCs/>
        </w:rPr>
        <w:t>So far as reasonably practicable, the Trust will:</w:t>
      </w:r>
    </w:p>
    <w:p w14:paraId="62B7D99C"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Effectively control health and safety hazards and risks to our staff, pupils, and others affected by the way in which we conduct our activities.</w:t>
      </w:r>
    </w:p>
    <w:p w14:paraId="42241FD8"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Comply with the Health and Safety at Work Act 1974, the Management of Health and Safety at Work Regulations (1999) and all other relevant health and safety, and fire safety regulations.</w:t>
      </w:r>
    </w:p>
    <w:p w14:paraId="7EE68A11"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Take a pragmatic and appropriate approach and prioritise according to risk. It is appreciated that risk cannot be eliminated but they will be managed to expose and control hazards as far as possible.</w:t>
      </w:r>
    </w:p>
    <w:p w14:paraId="6D4B9DE4"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Work with partners and contractors to control health and safety risks.</w:t>
      </w:r>
    </w:p>
    <w:p w14:paraId="08F52D71"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Prevent work related accidents, ill health and serious incidents.</w:t>
      </w:r>
    </w:p>
    <w:p w14:paraId="40DCF409"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Continuously improve our health and safety performance through risk assessment and mitigation, and wherever possible, eliminate or minimise the impact of the risk.</w:t>
      </w:r>
    </w:p>
    <w:p w14:paraId="778AC8A5" w14:textId="77777777" w:rsidR="001200C9" w:rsidRPr="001B67F2" w:rsidRDefault="001200C9" w:rsidP="001200C9">
      <w:pPr>
        <w:pStyle w:val="ListParagraph"/>
        <w:numPr>
          <w:ilvl w:val="2"/>
          <w:numId w:val="1"/>
        </w:numPr>
        <w:spacing w:after="120" w:line="360" w:lineRule="auto"/>
        <w:ind w:left="1276" w:hanging="284"/>
        <w:contextualSpacing w:val="0"/>
        <w:rPr>
          <w:rFonts w:ascii="Verdana" w:hAnsi="Verdana" w:cs="Arial"/>
          <w:bCs/>
        </w:rPr>
      </w:pPr>
      <w:r w:rsidRPr="001B67F2">
        <w:rPr>
          <w:rFonts w:ascii="Verdana" w:hAnsi="Verdana" w:cs="Arial"/>
          <w:bCs/>
        </w:rPr>
        <w:t>Ensure our health and safety arrangements are balanced, proportionate and sensible.</w:t>
      </w:r>
    </w:p>
    <w:p w14:paraId="224057CE" w14:textId="77777777" w:rsidR="001200C9" w:rsidRPr="001B67F2" w:rsidRDefault="001200C9" w:rsidP="001200C9">
      <w:pPr>
        <w:pStyle w:val="ListParagraph"/>
        <w:numPr>
          <w:ilvl w:val="1"/>
          <w:numId w:val="1"/>
        </w:numPr>
        <w:spacing w:after="120" w:line="360" w:lineRule="auto"/>
        <w:ind w:left="993" w:hanging="633"/>
        <w:contextualSpacing w:val="0"/>
        <w:rPr>
          <w:rFonts w:ascii="Verdana" w:hAnsi="Verdana" w:cs="Arial"/>
          <w:bCs/>
        </w:rPr>
      </w:pPr>
      <w:r w:rsidRPr="001B67F2">
        <w:rPr>
          <w:rFonts w:ascii="Verdana" w:hAnsi="Verdana" w:cs="Arial"/>
          <w:bCs/>
        </w:rPr>
        <w:t>To achieve these objectives, the Trust will ensure, so far as reasonably practicable, that:</w:t>
      </w:r>
    </w:p>
    <w:p w14:paraId="1975490A"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Effective health and safety governance and performance management arrangements are in place.  </w:t>
      </w:r>
    </w:p>
    <w:p w14:paraId="437FB7E2"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Health and safety responsibilities at all levels are effectively managed. </w:t>
      </w:r>
    </w:p>
    <w:p w14:paraId="15BE3C3C"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Activities involving significant risks are risk assessed and appropriate controls are put in place.  </w:t>
      </w:r>
    </w:p>
    <w:p w14:paraId="3E198930"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Safe systems of work are provided for all activities, premises, plant, vehicles, equipment and substances where there are any significant risks. </w:t>
      </w:r>
    </w:p>
    <w:p w14:paraId="74B0C389"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Appropriate training, instruction, guidance and supervision is provided. </w:t>
      </w:r>
    </w:p>
    <w:p w14:paraId="3C4A5B73"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A competent person is appointed to support the Trust to effectively manage all aspects of health and safety. </w:t>
      </w:r>
    </w:p>
    <w:p w14:paraId="0BA32E36"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Health and safety arrangements are monitored and reviewed. </w:t>
      </w:r>
    </w:p>
    <w:p w14:paraId="0E308285"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Employee consultation in relation to health and safety takes place across the Trust. </w:t>
      </w:r>
    </w:p>
    <w:p w14:paraId="760BE4EE"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Health and safety requirements are appropriately considered in contracting, commissioning and partnership arrangements. </w:t>
      </w:r>
    </w:p>
    <w:p w14:paraId="415A7CA4"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Financial and reputational losses arising from work related accidents, incidents or ill health are avoided. </w:t>
      </w:r>
    </w:p>
    <w:p w14:paraId="476C74EC"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bCs/>
        </w:rPr>
      </w:pPr>
      <w:r w:rsidRPr="001B67F2">
        <w:rPr>
          <w:rFonts w:ascii="Verdana" w:hAnsi="Verdana" w:cs="Arial"/>
          <w:bCs/>
        </w:rPr>
        <w:t xml:space="preserve">Adequate financial resources are made available. </w:t>
      </w:r>
    </w:p>
    <w:p w14:paraId="26CE574E" w14:textId="77777777" w:rsidR="001200C9" w:rsidRPr="001B67F2" w:rsidRDefault="001200C9" w:rsidP="001200C9">
      <w:pPr>
        <w:pStyle w:val="ListParagraph"/>
        <w:numPr>
          <w:ilvl w:val="2"/>
          <w:numId w:val="4"/>
        </w:numPr>
        <w:spacing w:after="120" w:line="360" w:lineRule="auto"/>
        <w:ind w:left="1276" w:hanging="283"/>
        <w:contextualSpacing w:val="0"/>
        <w:rPr>
          <w:rFonts w:ascii="Verdana" w:hAnsi="Verdana" w:cs="Arial"/>
        </w:rPr>
      </w:pPr>
      <w:r w:rsidRPr="001B67F2">
        <w:rPr>
          <w:rFonts w:ascii="Verdana" w:hAnsi="Verdana" w:cs="Arial"/>
          <w:bCs/>
        </w:rPr>
        <w:t xml:space="preserve">The policy is to be reviewed on an annual basis or whenever there are changes to the organisational structure. </w:t>
      </w:r>
    </w:p>
    <w:p w14:paraId="54F80F72" w14:textId="46746138" w:rsidR="001200C9" w:rsidRPr="004605F9" w:rsidRDefault="001200C9" w:rsidP="004605F9">
      <w:pPr>
        <w:pStyle w:val="Heading1"/>
        <w:numPr>
          <w:ilvl w:val="0"/>
          <w:numId w:val="1"/>
        </w:numPr>
        <w:tabs>
          <w:tab w:val="num" w:pos="360"/>
        </w:tabs>
        <w:spacing w:after="120" w:line="360" w:lineRule="auto"/>
        <w:ind w:left="426" w:hanging="426"/>
        <w:rPr>
          <w:rFonts w:ascii="Verdana" w:hAnsi="Verdana"/>
          <w:color w:val="05345F"/>
          <w:sz w:val="36"/>
          <w:szCs w:val="36"/>
        </w:rPr>
      </w:pPr>
      <w:bookmarkStart w:id="4" w:name="_Toc60923462"/>
      <w:bookmarkStart w:id="5" w:name="_Toc98843640"/>
      <w:r w:rsidRPr="004605F9">
        <w:rPr>
          <w:rFonts w:ascii="Verdana" w:hAnsi="Verdana"/>
          <w:color w:val="05345F"/>
          <w:sz w:val="36"/>
          <w:szCs w:val="36"/>
        </w:rPr>
        <w:t>ORGANISATIONAL ROLES AND</w:t>
      </w:r>
      <w:r w:rsidR="004605F9">
        <w:rPr>
          <w:rFonts w:ascii="Verdana" w:hAnsi="Verdana"/>
          <w:color w:val="05345F"/>
          <w:sz w:val="36"/>
          <w:szCs w:val="36"/>
        </w:rPr>
        <w:t xml:space="preserve"> </w:t>
      </w:r>
      <w:r w:rsidRPr="004605F9">
        <w:rPr>
          <w:rFonts w:ascii="Verdana" w:hAnsi="Verdana"/>
          <w:color w:val="05345F"/>
          <w:sz w:val="36"/>
          <w:szCs w:val="36"/>
        </w:rPr>
        <w:t>RESPONSIBILITIES</w:t>
      </w:r>
      <w:bookmarkEnd w:id="4"/>
      <w:bookmarkEnd w:id="5"/>
    </w:p>
    <w:p w14:paraId="4B756686" w14:textId="34601278" w:rsidR="001200C9" w:rsidRPr="001B67F2" w:rsidRDefault="001200C9" w:rsidP="001200C9">
      <w:pPr>
        <w:pStyle w:val="ListParagraph"/>
        <w:numPr>
          <w:ilvl w:val="1"/>
          <w:numId w:val="1"/>
        </w:numPr>
        <w:spacing w:after="120" w:line="360" w:lineRule="auto"/>
        <w:ind w:left="788" w:hanging="431"/>
        <w:contextualSpacing w:val="0"/>
        <w:rPr>
          <w:rFonts w:ascii="Verdana" w:hAnsi="Verdana"/>
        </w:rPr>
      </w:pPr>
      <w:r w:rsidRPr="001B67F2">
        <w:rPr>
          <w:rFonts w:ascii="Verdana" w:hAnsi="Verdana"/>
        </w:rPr>
        <w:t>This statement outlines the roles and responsibilities in relation to delivering, so far as reasonably practicable, compliance with the aims of this policy and the relevant statutory requirements. All specific roles and responsibilities will be assigned under local arrangements contained within the individual school’s health and safety policy as delegated by the Head</w:t>
      </w:r>
      <w:r w:rsidR="007A0280" w:rsidRPr="001B67F2">
        <w:rPr>
          <w:rFonts w:ascii="Verdana" w:hAnsi="Verdana"/>
        </w:rPr>
        <w:t>t</w:t>
      </w:r>
      <w:r w:rsidRPr="001B67F2">
        <w:rPr>
          <w:rFonts w:ascii="Verdana" w:hAnsi="Verdana"/>
        </w:rPr>
        <w:t>eacher and the Local Governing Body.</w:t>
      </w:r>
    </w:p>
    <w:p w14:paraId="71EB01E9" w14:textId="77777777" w:rsidR="001200C9" w:rsidRPr="001B67F2" w:rsidRDefault="001200C9" w:rsidP="001200C9">
      <w:pPr>
        <w:pStyle w:val="ListParagraph"/>
        <w:keepNext/>
        <w:numPr>
          <w:ilvl w:val="1"/>
          <w:numId w:val="1"/>
        </w:numPr>
        <w:spacing w:after="120" w:line="360" w:lineRule="auto"/>
        <w:ind w:left="788" w:hanging="431"/>
        <w:contextualSpacing w:val="0"/>
        <w:rPr>
          <w:rFonts w:ascii="Verdana" w:hAnsi="Verdana"/>
        </w:rPr>
      </w:pPr>
      <w:r w:rsidRPr="001B67F2">
        <w:rPr>
          <w:rFonts w:ascii="Verdana" w:hAnsi="Verdana"/>
        </w:rPr>
        <w:t>It should be noted that:</w:t>
      </w:r>
    </w:p>
    <w:p w14:paraId="5FB542AD"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Every employee is legally required to co-operate with their employer in relation to all aspects of health and safety, and to take reasonable care of themselves and others who may be affected by what they do, or fail to do, at work. </w:t>
      </w:r>
    </w:p>
    <w:p w14:paraId="47CBCA94"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Employees must not interfere with anything provided to safeguard their health and safety. </w:t>
      </w:r>
    </w:p>
    <w:p w14:paraId="70276089"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Employees must report all health and safety concerns to an appropriate person. </w:t>
      </w:r>
    </w:p>
    <w:p w14:paraId="31AF60A1"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The Board of Directors, Chief Executive Officer, Head Teachers and Local Governing Bodies are also subject to the above duties but carry additional legal duties to ensure that health and safety is properly managed. </w:t>
      </w:r>
    </w:p>
    <w:p w14:paraId="301AD9E1" w14:textId="77777777" w:rsidR="001200C9" w:rsidRPr="001B67F2" w:rsidRDefault="001200C9" w:rsidP="001200C9">
      <w:pPr>
        <w:pStyle w:val="ListParagraph"/>
        <w:keepNext/>
        <w:numPr>
          <w:ilvl w:val="1"/>
          <w:numId w:val="1"/>
        </w:numPr>
        <w:spacing w:after="120" w:line="360" w:lineRule="auto"/>
        <w:ind w:left="788" w:hanging="431"/>
        <w:contextualSpacing w:val="0"/>
        <w:rPr>
          <w:rFonts w:ascii="Verdana" w:hAnsi="Verdana"/>
        </w:rPr>
      </w:pPr>
      <w:r w:rsidRPr="001B67F2">
        <w:rPr>
          <w:rFonts w:ascii="Verdana" w:hAnsi="Verdana"/>
          <w:b/>
          <w:bCs/>
        </w:rPr>
        <w:t>The Board of Directors and Chief Executive Officer</w:t>
      </w:r>
      <w:r w:rsidRPr="001B67F2">
        <w:rPr>
          <w:rFonts w:ascii="Verdana" w:hAnsi="Verdana"/>
        </w:rPr>
        <w:t xml:space="preserve"> will provide leadership in delivering compliance with the relevant statutory requirements and the objectives of this policy and will:</w:t>
      </w:r>
    </w:p>
    <w:p w14:paraId="11255AF7"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Give due consideration to all health and safety matters with regards to decision making including the need to adequately resource proportionate and effective health and safety arrangements. </w:t>
      </w:r>
    </w:p>
    <w:p w14:paraId="611F817B"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 xml:space="preserve">Establish appropriate and proportionate governance and assurance arrangements to facilitate effective health and safety planning, delivery, monitoring and review. </w:t>
      </w:r>
    </w:p>
    <w:p w14:paraId="10B73E07"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bookmarkStart w:id="6" w:name="_Hlk60817083"/>
      <w:r w:rsidRPr="001B67F2">
        <w:rPr>
          <w:rFonts w:ascii="Verdana" w:hAnsi="Verdana"/>
        </w:rPr>
        <w:t xml:space="preserve">Appoint competent health and safety support to ensure full compliance in relation to health and safety. </w:t>
      </w:r>
    </w:p>
    <w:p w14:paraId="60D34D0F" w14:textId="77777777" w:rsidR="001200C9" w:rsidRPr="001B67F2" w:rsidRDefault="001200C9" w:rsidP="001200C9">
      <w:pPr>
        <w:pStyle w:val="ListParagraph"/>
        <w:numPr>
          <w:ilvl w:val="1"/>
          <w:numId w:val="1"/>
        </w:numPr>
        <w:spacing w:after="120" w:line="360" w:lineRule="auto"/>
        <w:ind w:left="788" w:hanging="431"/>
        <w:contextualSpacing w:val="0"/>
        <w:rPr>
          <w:rFonts w:ascii="Verdana" w:hAnsi="Verdana"/>
        </w:rPr>
      </w:pPr>
      <w:r w:rsidRPr="001B67F2">
        <w:rPr>
          <w:rFonts w:ascii="Verdana" w:hAnsi="Verdana"/>
          <w:b/>
          <w:bCs/>
        </w:rPr>
        <w:t>Local Governing Bodies and Headteachers</w:t>
      </w:r>
      <w:r w:rsidRPr="001B67F2">
        <w:rPr>
          <w:rFonts w:ascii="Verdana" w:hAnsi="Verdana"/>
        </w:rPr>
        <w:t xml:space="preserve"> will:</w:t>
      </w:r>
    </w:p>
    <w:p w14:paraId="25403355"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Provide adequate leadership so that effective health and safety management arrangements are established. implement health and safety governance and assurance </w:t>
      </w:r>
      <w:bookmarkEnd w:id="6"/>
      <w:r w:rsidRPr="001B67F2">
        <w:rPr>
          <w:rFonts w:ascii="Verdana" w:hAnsi="Verdana"/>
        </w:rPr>
        <w:t xml:space="preserve">arrangements to facilitate effective and proportionate health and safety planning, delivery, monitoring and review, including the assessment of significant risks. </w:t>
      </w:r>
    </w:p>
    <w:p w14:paraId="2AFE1986"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Give due consideration to health and safety issues in decision making, including the need to adequately resource health and safety arrangements. </w:t>
      </w:r>
    </w:p>
    <w:p w14:paraId="7125F4C1"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Engage appropriate levels of competent health and safety support. </w:t>
      </w:r>
    </w:p>
    <w:p w14:paraId="582B9077"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Take steps to achieve continuous health and safety performance and improvement. </w:t>
      </w:r>
    </w:p>
    <w:p w14:paraId="1A5204EB"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Provide adequate health and safety training, instruction, guidance and supervision for employees. </w:t>
      </w:r>
    </w:p>
    <w:p w14:paraId="7FE917F1" w14:textId="1D4640B9" w:rsidR="003215BE"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Seek competent advice and support where necessary from competent person </w:t>
      </w:r>
      <w:r w:rsidR="003215BE" w:rsidRPr="001B67F2">
        <w:rPr>
          <w:rFonts w:ascii="Verdana" w:hAnsi="Verdana"/>
        </w:rPr>
        <w:t xml:space="preserve">provided </w:t>
      </w:r>
      <w:r w:rsidRPr="001B67F2">
        <w:rPr>
          <w:rFonts w:ascii="Verdana" w:hAnsi="Verdana"/>
        </w:rPr>
        <w:t>by the Trust.</w:t>
      </w:r>
    </w:p>
    <w:p w14:paraId="57935D1F" w14:textId="10FEDF3A" w:rsidR="001200C9" w:rsidRPr="001B67F2" w:rsidRDefault="003215BE"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Ensure that recommendations made by the competent person are monitored and implemented within the recommended timeframes.</w:t>
      </w:r>
      <w:r w:rsidR="001200C9" w:rsidRPr="001B67F2">
        <w:rPr>
          <w:rFonts w:ascii="Verdana" w:hAnsi="Verdana"/>
        </w:rPr>
        <w:t xml:space="preserve"> </w:t>
      </w:r>
    </w:p>
    <w:p w14:paraId="4B685F7A"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Establish consultation arrangements to engage with staff in achieving effective and proportionate levels of health and safety. </w:t>
      </w:r>
    </w:p>
    <w:p w14:paraId="7E23B6C4"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001B67F2">
        <w:rPr>
          <w:rFonts w:ascii="Verdana" w:hAnsi="Verdana"/>
        </w:rPr>
        <w:t xml:space="preserve">Ensure that appropriate cooperation is given to safety representatives in the exercise of their functions. </w:t>
      </w:r>
    </w:p>
    <w:p w14:paraId="3B27692D" w14:textId="77777777" w:rsidR="001200C9" w:rsidRPr="001B67F2" w:rsidRDefault="001200C9" w:rsidP="001200C9">
      <w:pPr>
        <w:pStyle w:val="ListParagraph"/>
        <w:numPr>
          <w:ilvl w:val="1"/>
          <w:numId w:val="5"/>
        </w:numPr>
        <w:spacing w:after="120" w:line="360" w:lineRule="auto"/>
        <w:ind w:left="1276" w:hanging="431"/>
        <w:contextualSpacing w:val="0"/>
        <w:rPr>
          <w:rFonts w:ascii="Verdana" w:hAnsi="Verdana"/>
        </w:rPr>
      </w:pPr>
      <w:r w:rsidRPr="432C626F">
        <w:rPr>
          <w:rFonts w:ascii="Verdana" w:hAnsi="Verdana"/>
        </w:rPr>
        <w:t>Appropriately consider health and safety requirements when contracting, commissioning and agreeing partnership arrangements.</w:t>
      </w:r>
    </w:p>
    <w:p w14:paraId="1F780152" w14:textId="2DE25C53" w:rsidR="016F6B68" w:rsidRDefault="016F6B68" w:rsidP="432C626F">
      <w:pPr>
        <w:pStyle w:val="ListParagraph"/>
        <w:keepNext/>
        <w:keepLines/>
        <w:numPr>
          <w:ilvl w:val="1"/>
          <w:numId w:val="1"/>
        </w:numPr>
        <w:spacing w:after="120" w:line="360" w:lineRule="auto"/>
        <w:ind w:left="788" w:hanging="431"/>
        <w:contextualSpacing w:val="0"/>
        <w:rPr>
          <w:rFonts w:ascii="Verdana" w:hAnsi="Verdana"/>
        </w:rPr>
      </w:pPr>
      <w:r w:rsidRPr="432C626F">
        <w:rPr>
          <w:rFonts w:ascii="Verdana" w:hAnsi="Verdana"/>
        </w:rPr>
        <w:t xml:space="preserve">The </w:t>
      </w:r>
      <w:r w:rsidRPr="432C626F">
        <w:rPr>
          <w:rFonts w:ascii="Verdana" w:hAnsi="Verdana"/>
          <w:b/>
          <w:bCs/>
        </w:rPr>
        <w:t>Trust Estates Lead</w:t>
      </w:r>
      <w:r w:rsidRPr="432C626F">
        <w:rPr>
          <w:rFonts w:ascii="Verdana" w:hAnsi="Verdana"/>
        </w:rPr>
        <w:t xml:space="preserve"> will</w:t>
      </w:r>
      <w:r w:rsidR="67199FD1" w:rsidRPr="432C626F">
        <w:rPr>
          <w:rFonts w:ascii="Verdana" w:hAnsi="Verdana"/>
        </w:rPr>
        <w:t>:</w:t>
      </w:r>
      <w:r w:rsidRPr="432C626F">
        <w:rPr>
          <w:rFonts w:ascii="Verdana" w:hAnsi="Verdana"/>
        </w:rPr>
        <w:t xml:space="preserve"> </w:t>
      </w:r>
    </w:p>
    <w:p w14:paraId="4290549C" w14:textId="1EDCCCE4" w:rsidR="3E917882" w:rsidRDefault="3E917882" w:rsidP="432C626F">
      <w:pPr>
        <w:pStyle w:val="ListParagraph"/>
        <w:keepNext/>
        <w:keepLines/>
        <w:numPr>
          <w:ilvl w:val="2"/>
          <w:numId w:val="1"/>
        </w:numPr>
        <w:spacing w:after="120" w:line="360" w:lineRule="auto"/>
        <w:contextualSpacing w:val="0"/>
        <w:rPr>
          <w:rFonts w:ascii="Verdana" w:hAnsi="Verdana"/>
        </w:rPr>
      </w:pPr>
      <w:r w:rsidRPr="432C626F">
        <w:rPr>
          <w:rFonts w:ascii="Verdana" w:hAnsi="Verdana"/>
        </w:rPr>
        <w:t>C</w:t>
      </w:r>
      <w:r w:rsidR="016F6B68" w:rsidRPr="432C626F">
        <w:rPr>
          <w:rFonts w:ascii="Verdana" w:hAnsi="Verdana"/>
        </w:rPr>
        <w:t xml:space="preserve">oordinate </w:t>
      </w:r>
      <w:r w:rsidR="5730C92D" w:rsidRPr="432C626F">
        <w:rPr>
          <w:rFonts w:ascii="Verdana" w:hAnsi="Verdana"/>
        </w:rPr>
        <w:t xml:space="preserve">the </w:t>
      </w:r>
      <w:r w:rsidR="016F6B68" w:rsidRPr="432C626F">
        <w:rPr>
          <w:rFonts w:ascii="Verdana" w:hAnsi="Verdana"/>
        </w:rPr>
        <w:t xml:space="preserve">overall position on compliance </w:t>
      </w:r>
      <w:r w:rsidR="299A62AA" w:rsidRPr="432C626F">
        <w:rPr>
          <w:rFonts w:ascii="Verdana" w:hAnsi="Verdana"/>
        </w:rPr>
        <w:t xml:space="preserve">with H&amp;S requirements </w:t>
      </w:r>
      <w:r w:rsidR="016F6B68" w:rsidRPr="432C626F">
        <w:rPr>
          <w:rFonts w:ascii="Verdana" w:hAnsi="Verdana"/>
        </w:rPr>
        <w:t xml:space="preserve">by each school through information provided by the Trust’s </w:t>
      </w:r>
      <w:r w:rsidR="059D214E" w:rsidRPr="432C626F">
        <w:rPr>
          <w:rFonts w:ascii="Verdana" w:hAnsi="Verdana"/>
        </w:rPr>
        <w:t xml:space="preserve">specialist </w:t>
      </w:r>
      <w:r w:rsidR="016F6B68" w:rsidRPr="432C626F">
        <w:rPr>
          <w:rFonts w:ascii="Verdana" w:hAnsi="Verdana"/>
        </w:rPr>
        <w:t xml:space="preserve">H&amp;S </w:t>
      </w:r>
      <w:r w:rsidR="2AB8E2E0" w:rsidRPr="432C626F">
        <w:rPr>
          <w:rFonts w:ascii="Verdana" w:hAnsi="Verdana"/>
        </w:rPr>
        <w:t>advisors.</w:t>
      </w:r>
    </w:p>
    <w:p w14:paraId="4CF32066" w14:textId="1C7F564B" w:rsidR="2F7FC04D" w:rsidRDefault="2F7FC04D" w:rsidP="432C626F">
      <w:pPr>
        <w:pStyle w:val="ListParagraph"/>
        <w:keepNext/>
        <w:keepLines/>
        <w:numPr>
          <w:ilvl w:val="2"/>
          <w:numId w:val="1"/>
        </w:numPr>
        <w:spacing w:after="120" w:line="360" w:lineRule="auto"/>
        <w:contextualSpacing w:val="0"/>
        <w:rPr>
          <w:rFonts w:ascii="Verdana" w:hAnsi="Verdana"/>
        </w:rPr>
      </w:pPr>
      <w:r w:rsidRPr="432C626F">
        <w:rPr>
          <w:rFonts w:ascii="Verdana" w:hAnsi="Verdana"/>
        </w:rPr>
        <w:t xml:space="preserve">Report reguarly to the Chief Operating Officer on the </w:t>
      </w:r>
      <w:r w:rsidR="7AA08F05" w:rsidRPr="432C626F">
        <w:rPr>
          <w:rFonts w:ascii="Verdana" w:hAnsi="Verdana"/>
        </w:rPr>
        <w:t>status of each school’s H&amp;S position including compliance.</w:t>
      </w:r>
    </w:p>
    <w:p w14:paraId="5C84B169" w14:textId="2EB45798" w:rsidR="7AA08F05" w:rsidRDefault="7AA08F05" w:rsidP="432C626F">
      <w:pPr>
        <w:pStyle w:val="ListParagraph"/>
        <w:keepNext/>
        <w:keepLines/>
        <w:numPr>
          <w:ilvl w:val="2"/>
          <w:numId w:val="1"/>
        </w:numPr>
        <w:spacing w:after="120" w:line="360" w:lineRule="auto"/>
        <w:contextualSpacing w:val="0"/>
        <w:rPr>
          <w:rFonts w:ascii="Verdana" w:hAnsi="Verdana"/>
        </w:rPr>
      </w:pPr>
      <w:r w:rsidRPr="432C626F">
        <w:rPr>
          <w:rFonts w:ascii="Verdana" w:hAnsi="Verdana"/>
        </w:rPr>
        <w:t>Support schools to implement necessary actions within school as they pertain to the overall school estate.</w:t>
      </w:r>
    </w:p>
    <w:p w14:paraId="6673179D" w14:textId="18F9C177" w:rsidR="7AA08F05" w:rsidRDefault="7AA08F05" w:rsidP="432C626F">
      <w:pPr>
        <w:pStyle w:val="ListParagraph"/>
        <w:keepNext/>
        <w:keepLines/>
        <w:numPr>
          <w:ilvl w:val="2"/>
          <w:numId w:val="1"/>
        </w:numPr>
        <w:spacing w:after="120" w:line="360" w:lineRule="auto"/>
        <w:contextualSpacing w:val="0"/>
        <w:rPr>
          <w:rFonts w:ascii="Verdana" w:hAnsi="Verdana"/>
        </w:rPr>
      </w:pPr>
      <w:r w:rsidRPr="432C626F">
        <w:rPr>
          <w:rFonts w:ascii="Verdana" w:hAnsi="Verdana"/>
        </w:rPr>
        <w:t xml:space="preserve">Collaborate with other central team colleagues to </w:t>
      </w:r>
      <w:r w:rsidR="52AF54CB" w:rsidRPr="432C626F">
        <w:rPr>
          <w:rFonts w:ascii="Verdana" w:hAnsi="Verdana"/>
        </w:rPr>
        <w:t xml:space="preserve">support school to </w:t>
      </w:r>
      <w:r w:rsidRPr="432C626F">
        <w:rPr>
          <w:rFonts w:ascii="Verdana" w:hAnsi="Verdana"/>
        </w:rPr>
        <w:t>implement necessary actions across other areas of school activity.</w:t>
      </w:r>
    </w:p>
    <w:p w14:paraId="19288AD0" w14:textId="00BBCA72" w:rsidR="1573E08E" w:rsidRDefault="1573E08E" w:rsidP="432C626F">
      <w:pPr>
        <w:pStyle w:val="ListParagraph"/>
        <w:keepNext/>
        <w:keepLines/>
        <w:numPr>
          <w:ilvl w:val="2"/>
          <w:numId w:val="1"/>
        </w:numPr>
        <w:spacing w:after="120" w:line="360" w:lineRule="auto"/>
        <w:contextualSpacing w:val="0"/>
        <w:rPr>
          <w:rFonts w:ascii="Verdana" w:hAnsi="Verdana"/>
        </w:rPr>
      </w:pPr>
      <w:r w:rsidRPr="432C626F">
        <w:rPr>
          <w:rFonts w:ascii="Verdana" w:hAnsi="Verdana"/>
        </w:rPr>
        <w:t>Provide advice and guidance to school within their sphere of knowledge and seek out relevant specialist advice as required.</w:t>
      </w:r>
    </w:p>
    <w:p w14:paraId="71FAB371" w14:textId="77777777" w:rsidR="001200C9" w:rsidRPr="001B67F2" w:rsidRDefault="001200C9" w:rsidP="001200C9">
      <w:pPr>
        <w:pStyle w:val="ListParagraph"/>
        <w:keepNext/>
        <w:keepLines/>
        <w:numPr>
          <w:ilvl w:val="1"/>
          <w:numId w:val="1"/>
        </w:numPr>
        <w:spacing w:after="120" w:line="360" w:lineRule="auto"/>
        <w:ind w:left="788" w:hanging="431"/>
        <w:contextualSpacing w:val="0"/>
        <w:rPr>
          <w:rFonts w:ascii="Verdana" w:hAnsi="Verdana"/>
        </w:rPr>
      </w:pPr>
      <w:r w:rsidRPr="001B67F2">
        <w:rPr>
          <w:rFonts w:ascii="Verdana" w:hAnsi="Verdana"/>
          <w:b/>
          <w:bCs/>
        </w:rPr>
        <w:t>Lead Persons</w:t>
      </w:r>
      <w:r w:rsidRPr="001B67F2">
        <w:rPr>
          <w:rFonts w:ascii="Verdana" w:hAnsi="Verdana"/>
        </w:rPr>
        <w:t xml:space="preserve"> within each school are those with specific health and safety responsibilities commensurate with their responsibilities for the organisation or control of any activity, operation or function and the extent of any associated risk. Lead Persons will:</w:t>
      </w:r>
    </w:p>
    <w:p w14:paraId="39C2FCEC" w14:textId="77777777" w:rsidR="001200C9" w:rsidRPr="001B67F2" w:rsidRDefault="001200C9" w:rsidP="001200C9">
      <w:pPr>
        <w:pStyle w:val="ListParagraph"/>
        <w:numPr>
          <w:ilvl w:val="1"/>
          <w:numId w:val="6"/>
        </w:numPr>
        <w:spacing w:after="120" w:line="360" w:lineRule="auto"/>
        <w:ind w:left="1276" w:hanging="425"/>
        <w:contextualSpacing w:val="0"/>
        <w:rPr>
          <w:rFonts w:ascii="Verdana" w:hAnsi="Verdana"/>
        </w:rPr>
      </w:pPr>
      <w:r w:rsidRPr="001B67F2">
        <w:rPr>
          <w:rFonts w:ascii="Verdana" w:hAnsi="Verdana"/>
        </w:rPr>
        <w:t>Manage health and safety in accordance with statutory requirements and relevant Trust and School policies procedures.</w:t>
      </w:r>
    </w:p>
    <w:p w14:paraId="086DC1C7" w14:textId="77777777" w:rsidR="001200C9" w:rsidRPr="001B67F2" w:rsidRDefault="001200C9" w:rsidP="001200C9">
      <w:pPr>
        <w:pStyle w:val="ListParagraph"/>
        <w:numPr>
          <w:ilvl w:val="1"/>
          <w:numId w:val="6"/>
        </w:numPr>
        <w:spacing w:after="120" w:line="360" w:lineRule="auto"/>
        <w:ind w:left="1276" w:hanging="425"/>
        <w:contextualSpacing w:val="0"/>
        <w:rPr>
          <w:rFonts w:ascii="Verdana" w:hAnsi="Verdana"/>
        </w:rPr>
      </w:pPr>
      <w:r w:rsidRPr="001B67F2">
        <w:rPr>
          <w:rFonts w:ascii="Verdana" w:hAnsi="Verdana"/>
        </w:rPr>
        <w:t>Where there are significant risks, manage, monitor and review health and safety standards and performance.</w:t>
      </w:r>
    </w:p>
    <w:p w14:paraId="75AFB32D" w14:textId="77777777" w:rsidR="001200C9" w:rsidRPr="001B67F2" w:rsidRDefault="001200C9" w:rsidP="001200C9">
      <w:pPr>
        <w:pStyle w:val="ListParagraph"/>
        <w:numPr>
          <w:ilvl w:val="1"/>
          <w:numId w:val="6"/>
        </w:numPr>
        <w:spacing w:after="120" w:line="360" w:lineRule="auto"/>
        <w:ind w:left="1276" w:hanging="425"/>
        <w:contextualSpacing w:val="0"/>
        <w:rPr>
          <w:rFonts w:ascii="Verdana" w:hAnsi="Verdana"/>
        </w:rPr>
      </w:pPr>
      <w:r w:rsidRPr="001B67F2">
        <w:rPr>
          <w:rFonts w:ascii="Verdana" w:hAnsi="Verdana"/>
        </w:rPr>
        <w:t>Investigate, record and report any accidents, violent incidents, dangerous occurrences or incidents of work-related ill health in accordance with the Trust’s and School’s procedures.</w:t>
      </w:r>
    </w:p>
    <w:p w14:paraId="7079B4EA" w14:textId="77777777" w:rsidR="001200C9" w:rsidRPr="001B67F2" w:rsidRDefault="001200C9" w:rsidP="001200C9">
      <w:pPr>
        <w:pStyle w:val="ListParagraph"/>
        <w:numPr>
          <w:ilvl w:val="1"/>
          <w:numId w:val="6"/>
        </w:numPr>
        <w:spacing w:after="120" w:line="360" w:lineRule="auto"/>
        <w:ind w:left="1276" w:hanging="425"/>
        <w:contextualSpacing w:val="0"/>
        <w:rPr>
          <w:rFonts w:ascii="Verdana" w:hAnsi="Verdana"/>
        </w:rPr>
      </w:pPr>
      <w:r w:rsidRPr="001B67F2">
        <w:rPr>
          <w:rFonts w:ascii="Verdana" w:hAnsi="Verdana"/>
        </w:rPr>
        <w:t>Consult employees and safety representatives in relation to health and safety issues.</w:t>
      </w:r>
    </w:p>
    <w:p w14:paraId="081E60AF" w14:textId="77777777" w:rsidR="001200C9" w:rsidRPr="001B67F2" w:rsidRDefault="001200C9" w:rsidP="001200C9">
      <w:pPr>
        <w:pStyle w:val="ListParagraph"/>
        <w:numPr>
          <w:ilvl w:val="1"/>
          <w:numId w:val="6"/>
        </w:numPr>
        <w:spacing w:after="120" w:line="360" w:lineRule="auto"/>
        <w:ind w:left="1276" w:hanging="425"/>
        <w:contextualSpacing w:val="0"/>
        <w:rPr>
          <w:rFonts w:ascii="Verdana" w:hAnsi="Verdana"/>
        </w:rPr>
      </w:pPr>
      <w:r w:rsidRPr="001B67F2">
        <w:rPr>
          <w:rFonts w:ascii="Verdana" w:hAnsi="Verdana"/>
        </w:rPr>
        <w:t>Seek competent advice and support where necessary from the competent person.</w:t>
      </w:r>
    </w:p>
    <w:p w14:paraId="106FCDCD" w14:textId="77777777" w:rsidR="001200C9" w:rsidRPr="001B67F2" w:rsidRDefault="001200C9" w:rsidP="001200C9">
      <w:pPr>
        <w:pStyle w:val="ListParagraph"/>
        <w:spacing w:after="120" w:line="360" w:lineRule="auto"/>
        <w:ind w:left="788" w:firstLine="0"/>
        <w:contextualSpacing w:val="0"/>
        <w:rPr>
          <w:rFonts w:ascii="Verdana" w:hAnsi="Verdana"/>
        </w:rPr>
      </w:pPr>
      <w:r w:rsidRPr="001B67F2">
        <w:rPr>
          <w:rFonts w:ascii="Verdana" w:hAnsi="Verdana"/>
        </w:rPr>
        <w:t>Lead Persons will also provide arrangements to ensure:</w:t>
      </w:r>
    </w:p>
    <w:p w14:paraId="2C36FC1A"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Work operations are safety planned, conducted and risk assessed.</w:t>
      </w:r>
    </w:p>
    <w:p w14:paraId="547247FD"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Employees are provided with appropriate information, instruction, training and supervision.</w:t>
      </w:r>
    </w:p>
    <w:p w14:paraId="3F4086E2"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Employees are provided with the necessary Personal Protective Equipment (PPE) and other safety equipment.</w:t>
      </w:r>
    </w:p>
    <w:p w14:paraId="29835B01"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Risks associated with premises, plant, vehicles, equipment, activities and substances are minimise.</w:t>
      </w:r>
    </w:p>
    <w:p w14:paraId="2F46F31B" w14:textId="77777777" w:rsidR="001200C9" w:rsidRPr="001B67F2" w:rsidRDefault="001200C9" w:rsidP="001200C9">
      <w:pPr>
        <w:pStyle w:val="ListParagraph"/>
        <w:numPr>
          <w:ilvl w:val="1"/>
          <w:numId w:val="1"/>
        </w:numPr>
        <w:spacing w:after="120" w:line="360" w:lineRule="auto"/>
        <w:ind w:left="788" w:hanging="431"/>
        <w:contextualSpacing w:val="0"/>
        <w:rPr>
          <w:rFonts w:ascii="Verdana" w:hAnsi="Verdana"/>
        </w:rPr>
      </w:pPr>
      <w:r w:rsidRPr="001B67F2">
        <w:rPr>
          <w:rFonts w:ascii="Verdana" w:hAnsi="Verdana"/>
          <w:b/>
          <w:bCs/>
        </w:rPr>
        <w:t>The Trust’s specialist Health and Safety advisors</w:t>
      </w:r>
      <w:r w:rsidRPr="001B67F2">
        <w:rPr>
          <w:rFonts w:ascii="Verdana" w:hAnsi="Verdana"/>
        </w:rPr>
        <w:t xml:space="preserve"> are appointed by the Trust and will:</w:t>
      </w:r>
    </w:p>
    <w:p w14:paraId="4FE9200F"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Operate as the Trust’s appointed ‘Competent Person’ in accordance with the Trust’s duties under the relevant regulations. The purpose of this role is to assist the Trust, its Directors and employees to fulfil their statutory obligations.</w:t>
      </w:r>
    </w:p>
    <w:p w14:paraId="3D7FC3B4"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Ensure, so far as reasonably practicable, that the Trust’s health and safety management systems comply with statutory requirements and adequately protect employees, pupils and other.</w:t>
      </w:r>
    </w:p>
    <w:p w14:paraId="6983AB93"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Support management to provide appropriate health and safety leadership and governance.</w:t>
      </w:r>
    </w:p>
    <w:p w14:paraId="7B5A28C6"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Represent the Trust in dealings with the Health and Safety Executive (HSE), Fire Authority and other regulators.</w:t>
      </w:r>
    </w:p>
    <w:p w14:paraId="4CDB363B"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Support the Trust to fulfil its obligations in relation to health and safety consultation with employees.</w:t>
      </w:r>
    </w:p>
    <w:p w14:paraId="10BC4A7B" w14:textId="77777777" w:rsidR="001200C9" w:rsidRPr="001B67F2" w:rsidRDefault="001200C9" w:rsidP="001200C9">
      <w:pPr>
        <w:pStyle w:val="ListParagraph"/>
        <w:numPr>
          <w:ilvl w:val="1"/>
          <w:numId w:val="1"/>
        </w:numPr>
        <w:spacing w:after="120" w:line="360" w:lineRule="auto"/>
        <w:ind w:left="788" w:hanging="431"/>
        <w:contextualSpacing w:val="0"/>
        <w:rPr>
          <w:rFonts w:ascii="Verdana" w:hAnsi="Verdana"/>
        </w:rPr>
      </w:pPr>
      <w:r w:rsidRPr="001B67F2">
        <w:rPr>
          <w:rFonts w:ascii="Verdana" w:hAnsi="Verdana"/>
          <w:b/>
          <w:bCs/>
        </w:rPr>
        <w:t>All Employees</w:t>
      </w:r>
      <w:r w:rsidRPr="001B67F2">
        <w:rPr>
          <w:rFonts w:ascii="Verdana" w:hAnsi="Verdana"/>
        </w:rPr>
        <w:t xml:space="preserve"> have a part to play in helping the Trust to achieve its health and safety objectives. All employees have the responsibility to:</w:t>
      </w:r>
    </w:p>
    <w:p w14:paraId="22820A61"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Follow any relevant guidance, instructions, training and procedures.</w:t>
      </w:r>
    </w:p>
    <w:p w14:paraId="71D4FFD4"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Take reasonable care of themselves and others during the course of their daily duties.</w:t>
      </w:r>
    </w:p>
    <w:p w14:paraId="13676AFE"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Report any concerns in relation to methods of work, premises, sites, plant, equipment, activities, vehicles, substances or any other work-related matter.</w:t>
      </w:r>
    </w:p>
    <w:p w14:paraId="0180593C"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Report any ill health effects which they consider may be caused or exacerbated by work, including where they consider they may be affective by work related stress.</w:t>
      </w:r>
    </w:p>
    <w:p w14:paraId="33EC06CC"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Not interfere with or misuse anything provided in the interests of health and safety.</w:t>
      </w:r>
    </w:p>
    <w:p w14:paraId="00CD9C34"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Make use of any PPE or clothing, and report any defects in, or loss of, such equipment or clothing.</w:t>
      </w:r>
    </w:p>
    <w:p w14:paraId="6AEE1892"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As soon as possible, report to their manager or supervisor any work-related accident or significant ‘near-miss’, including those involving members of the public, contractors or other non-employees.</w:t>
      </w:r>
    </w:p>
    <w:p w14:paraId="4B317889"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Report to their manager any incident related to work where they felt threatened or were assaulted.</w:t>
      </w:r>
    </w:p>
    <w:p w14:paraId="43EA0526" w14:textId="77777777" w:rsidR="001200C9" w:rsidRPr="001B67F2" w:rsidRDefault="001200C9" w:rsidP="001200C9">
      <w:pPr>
        <w:pStyle w:val="ListParagraph"/>
        <w:numPr>
          <w:ilvl w:val="2"/>
          <w:numId w:val="1"/>
        </w:numPr>
        <w:spacing w:after="120" w:line="360" w:lineRule="auto"/>
        <w:ind w:hanging="373"/>
        <w:contextualSpacing w:val="0"/>
        <w:rPr>
          <w:rFonts w:ascii="Verdana" w:hAnsi="Verdana"/>
        </w:rPr>
      </w:pPr>
      <w:r w:rsidRPr="001B67F2">
        <w:rPr>
          <w:rFonts w:ascii="Verdana" w:hAnsi="Verdana"/>
        </w:rPr>
        <w:t>Follow any emergency procedures, such as fire evacuation or lockdown procedures.</w:t>
      </w:r>
    </w:p>
    <w:p w14:paraId="03D4536E" w14:textId="77777777" w:rsidR="001200C9" w:rsidRPr="00880C7E" w:rsidRDefault="001200C9" w:rsidP="001200C9">
      <w:pPr>
        <w:pStyle w:val="Heading1"/>
        <w:numPr>
          <w:ilvl w:val="0"/>
          <w:numId w:val="1"/>
        </w:numPr>
        <w:tabs>
          <w:tab w:val="num" w:pos="360"/>
        </w:tabs>
        <w:spacing w:after="120" w:line="360" w:lineRule="auto"/>
        <w:ind w:left="0" w:firstLine="0"/>
        <w:rPr>
          <w:rFonts w:ascii="Verdana" w:hAnsi="Verdana"/>
          <w:color w:val="05345F"/>
          <w:sz w:val="36"/>
          <w:szCs w:val="36"/>
        </w:rPr>
      </w:pPr>
      <w:bookmarkStart w:id="7" w:name="_Toc60923463"/>
      <w:bookmarkStart w:id="8" w:name="_Toc98843641"/>
      <w:r w:rsidRPr="00880C7E">
        <w:rPr>
          <w:rFonts w:ascii="Verdana" w:hAnsi="Verdana"/>
          <w:color w:val="05345F"/>
          <w:sz w:val="36"/>
          <w:szCs w:val="36"/>
        </w:rPr>
        <w:t>SPECIFIC ARRANGEMENTS</w:t>
      </w:r>
      <w:bookmarkEnd w:id="7"/>
      <w:bookmarkEnd w:id="8"/>
    </w:p>
    <w:p w14:paraId="03916786" w14:textId="77777777" w:rsidR="001200C9" w:rsidRPr="001B67F2" w:rsidRDefault="001200C9" w:rsidP="001200C9">
      <w:pPr>
        <w:pStyle w:val="ListParagraph"/>
        <w:numPr>
          <w:ilvl w:val="1"/>
          <w:numId w:val="1"/>
        </w:numPr>
        <w:spacing w:after="120" w:line="360" w:lineRule="auto"/>
        <w:contextualSpacing w:val="0"/>
        <w:rPr>
          <w:rFonts w:ascii="Verdana" w:hAnsi="Verdana"/>
        </w:rPr>
      </w:pPr>
      <w:r w:rsidRPr="001B67F2">
        <w:rPr>
          <w:rFonts w:ascii="Verdana" w:hAnsi="Verdana"/>
        </w:rPr>
        <w:t xml:space="preserve">The following specific arrangements will be put in place to support Directors, Governors, Headteachers and Employees to fulfil their responsibilities: </w:t>
      </w:r>
    </w:p>
    <w:p w14:paraId="7C3D3ADF" w14:textId="5556EAB8"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Directors/Trustees and the CEO will review progress of health and safety objectives at the termly meeting of the Audit Finance and Risk Committee Meeting.</w:t>
      </w:r>
      <w:r w:rsidR="005008DA" w:rsidRPr="001B67F2">
        <w:rPr>
          <w:rFonts w:ascii="Verdana" w:hAnsi="Verdana"/>
        </w:rPr>
        <w:t xml:space="preserve"> Directors/Trustees and the CEO will receive notification of any RIDDOR reportable events at each meeting of the Board of Directors.</w:t>
      </w:r>
    </w:p>
    <w:p w14:paraId="540869E2" w14:textId="77777777"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Each school will be provided with a specific Health and Safety Policy which includes specific management arrangements for various aspect of relevant Health and Safety legislation and regulation, and guidance for reporting and escalation of health and safety issues.</w:t>
      </w:r>
    </w:p>
    <w:p w14:paraId="61D2DA17" w14:textId="77777777"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Regular visits each year from the Trust’s specialist Health and Safety advisors (competent person) including an annual audit of health and safety compliance.</w:t>
      </w:r>
    </w:p>
    <w:p w14:paraId="7105A022" w14:textId="77777777"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The local governing body or designated sub-committee will have specific responsibility for oversight of health and safety within each school.</w:t>
      </w:r>
    </w:p>
    <w:p w14:paraId="7FDD3B3F" w14:textId="77777777"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A system for the communication of health and safety information both internally and externally across the Trust.</w:t>
      </w:r>
    </w:p>
    <w:p w14:paraId="6536ECAD" w14:textId="77777777" w:rsidR="001200C9" w:rsidRPr="001B67F2" w:rsidRDefault="001200C9" w:rsidP="001200C9">
      <w:pPr>
        <w:pStyle w:val="ListParagraph"/>
        <w:numPr>
          <w:ilvl w:val="0"/>
          <w:numId w:val="7"/>
        </w:numPr>
        <w:spacing w:after="120" w:line="360" w:lineRule="auto"/>
        <w:ind w:left="1276"/>
        <w:contextualSpacing w:val="0"/>
        <w:rPr>
          <w:rFonts w:ascii="Verdana" w:hAnsi="Verdana"/>
        </w:rPr>
      </w:pPr>
      <w:r w:rsidRPr="001B67F2">
        <w:rPr>
          <w:rFonts w:ascii="Verdana" w:hAnsi="Verdana"/>
        </w:rPr>
        <w:t>Training as necessary to discharge their duties in respect of health and safety.</w:t>
      </w:r>
    </w:p>
    <w:p w14:paraId="07228E61" w14:textId="77777777" w:rsidR="001200C9" w:rsidRPr="001B67F2" w:rsidRDefault="001200C9" w:rsidP="001200C9">
      <w:pPr>
        <w:pStyle w:val="ListParagraph"/>
        <w:numPr>
          <w:ilvl w:val="1"/>
          <w:numId w:val="1"/>
        </w:numPr>
        <w:spacing w:after="120" w:line="360" w:lineRule="auto"/>
        <w:contextualSpacing w:val="0"/>
        <w:rPr>
          <w:rFonts w:ascii="Verdana" w:hAnsi="Verdana"/>
        </w:rPr>
      </w:pPr>
      <w:r w:rsidRPr="001B67F2">
        <w:rPr>
          <w:rFonts w:ascii="Verdana" w:hAnsi="Verdana"/>
        </w:rPr>
        <w:t>The following arrangements will be set out in each school Health and Safety Policy:</w:t>
      </w:r>
    </w:p>
    <w:p w14:paraId="53BCD76F"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Visitors and Third Parties</w:t>
      </w:r>
    </w:p>
    <w:p w14:paraId="0EA1A002"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Safety Training</w:t>
      </w:r>
    </w:p>
    <w:p w14:paraId="698428AB"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Lone Working</w:t>
      </w:r>
    </w:p>
    <w:p w14:paraId="0E190DF4"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Refusal to Work on the Grounds of Health and Safety</w:t>
      </w:r>
    </w:p>
    <w:p w14:paraId="7238F758"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Accident, Incident and Near Miss Reporting</w:t>
      </w:r>
    </w:p>
    <w:p w14:paraId="0E75E388"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Workplace (Health, Safety &amp; Welfare) Regulations 1992</w:t>
      </w:r>
    </w:p>
    <w:p w14:paraId="5BA695EC"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Manual Handling Operations Regulations 1992</w:t>
      </w:r>
    </w:p>
    <w:p w14:paraId="20D25D72"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Health and Safety (Display Screen Equipment) Regulations 1992</w:t>
      </w:r>
    </w:p>
    <w:p w14:paraId="4157A8AB"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Health and Safety (Consultation with Employees) Regulations 1996</w:t>
      </w:r>
    </w:p>
    <w:p w14:paraId="5AEE822F"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Electricity at Work Regulations 1989</w:t>
      </w:r>
    </w:p>
    <w:p w14:paraId="0B052BA8"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Personal Protective Equipment at Work Regulations 1992</w:t>
      </w:r>
    </w:p>
    <w:p w14:paraId="606872B1"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Control of Substances Hazardous to Health Regulations 2002</w:t>
      </w:r>
    </w:p>
    <w:p w14:paraId="2204E604"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Work at Height Regulations 2005 (amended 2007)</w:t>
      </w:r>
    </w:p>
    <w:p w14:paraId="30F8E8A4"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Regulatory Reform (Fire Safety) Order 2005</w:t>
      </w:r>
    </w:p>
    <w:p w14:paraId="5801B677"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Provision and Use of Work Equipment Regulations 1998</w:t>
      </w:r>
    </w:p>
    <w:p w14:paraId="54C1D9BB"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Management of Health and Safety at Work Regulations 1999</w:t>
      </w:r>
    </w:p>
    <w:p w14:paraId="2BCAC75B"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Health and Safety (First Aid) Regulations 1981</w:t>
      </w:r>
    </w:p>
    <w:p w14:paraId="1D4EC188"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Protection of Young Persons</w:t>
      </w:r>
    </w:p>
    <w:p w14:paraId="71633F37"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New and Expectant Mothers</w:t>
      </w:r>
    </w:p>
    <w:p w14:paraId="077D25C2"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Violence and Aggression</w:t>
      </w:r>
    </w:p>
    <w:p w14:paraId="671E31DB"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Lifting Operations and Lifting Equipment Regulations (L.O.L.E.R.) 1998</w:t>
      </w:r>
    </w:p>
    <w:p w14:paraId="3896B758" w14:textId="77777777" w:rsidR="001200C9"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The Dangerous Substances and Explosive Atmospheres Regulations 2002</w:t>
      </w:r>
    </w:p>
    <w:p w14:paraId="1F3B5BFF" w14:textId="09048A82" w:rsidR="00985B44" w:rsidRPr="001B67F2" w:rsidRDefault="001200C9" w:rsidP="001200C9">
      <w:pPr>
        <w:pStyle w:val="ListParagraph"/>
        <w:numPr>
          <w:ilvl w:val="2"/>
          <w:numId w:val="1"/>
        </w:numPr>
        <w:spacing w:after="120" w:line="360" w:lineRule="auto"/>
        <w:contextualSpacing w:val="0"/>
        <w:rPr>
          <w:rFonts w:ascii="Verdana" w:hAnsi="Verdana"/>
        </w:rPr>
      </w:pPr>
      <w:r w:rsidRPr="001B67F2">
        <w:rPr>
          <w:rFonts w:ascii="Verdana" w:hAnsi="Verdana"/>
        </w:rPr>
        <w:t>Occupational Health</w:t>
      </w:r>
    </w:p>
    <w:p w14:paraId="0E42410C" w14:textId="252F8B4B" w:rsidR="001200C9" w:rsidRDefault="001200C9">
      <w:pPr>
        <w:rPr>
          <w:rFonts w:ascii="Verdana" w:hAnsi="Verdana"/>
          <w:sz w:val="20"/>
          <w:szCs w:val="20"/>
        </w:rPr>
      </w:pPr>
      <w:r>
        <w:rPr>
          <w:rFonts w:ascii="Verdana" w:hAnsi="Verdana"/>
          <w:sz w:val="20"/>
          <w:szCs w:val="20"/>
        </w:rPr>
        <w:br w:type="page"/>
      </w:r>
    </w:p>
    <w:p w14:paraId="74A55C21" w14:textId="77777777" w:rsidR="001200C9" w:rsidRPr="00880C7E" w:rsidRDefault="001200C9" w:rsidP="001200C9">
      <w:pPr>
        <w:pStyle w:val="Heading1"/>
        <w:spacing w:line="240" w:lineRule="auto"/>
        <w:rPr>
          <w:rFonts w:ascii="Verdana" w:hAnsi="Verdana"/>
          <w:color w:val="05345F"/>
          <w:sz w:val="36"/>
          <w:szCs w:val="36"/>
        </w:rPr>
      </w:pPr>
      <w:bookmarkStart w:id="9" w:name="_Toc60923464"/>
      <w:bookmarkStart w:id="10" w:name="_Toc98843642"/>
      <w:r w:rsidRPr="00880C7E">
        <w:rPr>
          <w:rFonts w:ascii="Verdana" w:hAnsi="Verdana"/>
          <w:color w:val="05345F"/>
          <w:sz w:val="36"/>
          <w:szCs w:val="36"/>
        </w:rPr>
        <w:t>APPENDIX A – POLICY REVIEW AND REVISION SCHEDULE</w:t>
      </w:r>
      <w:bookmarkEnd w:id="9"/>
      <w:bookmarkEnd w:id="10"/>
    </w:p>
    <w:p w14:paraId="06CC5055" w14:textId="77777777" w:rsidR="001200C9" w:rsidRPr="008F1049" w:rsidRDefault="001200C9" w:rsidP="001200C9">
      <w:pPr>
        <w:spacing w:after="0" w:line="240" w:lineRule="auto"/>
        <w:ind w:left="360"/>
        <w:rPr>
          <w:rFonts w:ascii="Verdana" w:hAnsi="Verdana"/>
          <w:b/>
          <w:sz w:val="20"/>
          <w:szCs w:val="20"/>
        </w:rPr>
      </w:pPr>
    </w:p>
    <w:p w14:paraId="6732878C" w14:textId="1BDD546D" w:rsidR="001200C9" w:rsidRPr="00880C7E" w:rsidRDefault="001200C9" w:rsidP="001200C9">
      <w:pPr>
        <w:spacing w:after="0" w:line="240" w:lineRule="auto"/>
        <w:ind w:left="360"/>
        <w:rPr>
          <w:rFonts w:ascii="Verdana" w:hAnsi="Verdana"/>
          <w:b/>
        </w:rPr>
      </w:pPr>
      <w:r w:rsidRPr="00880C7E">
        <w:rPr>
          <w:rFonts w:ascii="Verdana" w:hAnsi="Verdana"/>
          <w:b/>
        </w:rPr>
        <w:t>Review Schedule</w:t>
      </w:r>
      <w:r w:rsidR="00880C7E">
        <w:rPr>
          <w:rFonts w:ascii="Verdana" w:hAnsi="Verdana"/>
          <w:b/>
        </w:rPr>
        <w:br/>
      </w:r>
    </w:p>
    <w:tbl>
      <w:tblPr>
        <w:tblStyle w:val="TableGrid"/>
        <w:tblW w:w="8566" w:type="dxa"/>
        <w:tblInd w:w="360" w:type="dxa"/>
        <w:tblCellMar>
          <w:top w:w="57" w:type="dxa"/>
          <w:bottom w:w="57" w:type="dxa"/>
        </w:tblCellMar>
        <w:tblLook w:val="04A0" w:firstRow="1" w:lastRow="0" w:firstColumn="1" w:lastColumn="0" w:noHBand="0" w:noVBand="1"/>
      </w:tblPr>
      <w:tblGrid>
        <w:gridCol w:w="2470"/>
        <w:gridCol w:w="6096"/>
      </w:tblGrid>
      <w:tr w:rsidR="001200C9" w:rsidRPr="00880C7E" w14:paraId="1A0FE8D8" w14:textId="77777777" w:rsidTr="432C626F">
        <w:tc>
          <w:tcPr>
            <w:tcW w:w="2470" w:type="dxa"/>
          </w:tcPr>
          <w:p w14:paraId="1886E851" w14:textId="77777777" w:rsidR="001200C9" w:rsidRPr="00880C7E" w:rsidRDefault="001200C9" w:rsidP="00D700DA">
            <w:pPr>
              <w:rPr>
                <w:rFonts w:ascii="Verdana" w:hAnsi="Verdana"/>
              </w:rPr>
            </w:pPr>
            <w:r w:rsidRPr="00880C7E">
              <w:rPr>
                <w:rFonts w:ascii="Verdana" w:hAnsi="Verdana"/>
              </w:rPr>
              <w:t>Policy Author</w:t>
            </w:r>
          </w:p>
        </w:tc>
        <w:tc>
          <w:tcPr>
            <w:tcW w:w="6096" w:type="dxa"/>
          </w:tcPr>
          <w:p w14:paraId="0A8B38D5" w14:textId="49594C9F" w:rsidR="001200C9" w:rsidRPr="00880C7E" w:rsidRDefault="00862329" w:rsidP="00D700DA">
            <w:pPr>
              <w:rPr>
                <w:rFonts w:ascii="Verdana" w:hAnsi="Verdana"/>
              </w:rPr>
            </w:pPr>
            <w:r w:rsidRPr="00880C7E">
              <w:rPr>
                <w:rFonts w:ascii="Verdana" w:hAnsi="Verdana"/>
              </w:rPr>
              <w:t>Chief Operating Officer</w:t>
            </w:r>
          </w:p>
        </w:tc>
      </w:tr>
      <w:tr w:rsidR="001200C9" w:rsidRPr="00880C7E" w14:paraId="231A901D" w14:textId="77777777" w:rsidTr="432C626F">
        <w:tc>
          <w:tcPr>
            <w:tcW w:w="2470" w:type="dxa"/>
          </w:tcPr>
          <w:p w14:paraId="6F647969" w14:textId="77777777" w:rsidR="001200C9" w:rsidRPr="00880C7E" w:rsidRDefault="001200C9" w:rsidP="00D700DA">
            <w:pPr>
              <w:rPr>
                <w:rFonts w:ascii="Verdana" w:hAnsi="Verdana"/>
              </w:rPr>
            </w:pPr>
            <w:r w:rsidRPr="00880C7E">
              <w:rPr>
                <w:rFonts w:ascii="Verdana" w:hAnsi="Verdana"/>
              </w:rPr>
              <w:t>Policy Approver</w:t>
            </w:r>
          </w:p>
        </w:tc>
        <w:tc>
          <w:tcPr>
            <w:tcW w:w="6096" w:type="dxa"/>
          </w:tcPr>
          <w:p w14:paraId="7C92B444" w14:textId="77777777" w:rsidR="001200C9" w:rsidRPr="00880C7E" w:rsidRDefault="001200C9" w:rsidP="00D700DA">
            <w:pPr>
              <w:rPr>
                <w:rFonts w:ascii="Verdana" w:hAnsi="Verdana"/>
              </w:rPr>
            </w:pPr>
            <w:r w:rsidRPr="00880C7E">
              <w:rPr>
                <w:rFonts w:ascii="Verdana" w:hAnsi="Verdana"/>
              </w:rPr>
              <w:t>Board of Directors</w:t>
            </w:r>
          </w:p>
        </w:tc>
      </w:tr>
      <w:tr w:rsidR="001200C9" w:rsidRPr="00880C7E" w14:paraId="0071C10D" w14:textId="77777777" w:rsidTr="432C626F">
        <w:tc>
          <w:tcPr>
            <w:tcW w:w="2470" w:type="dxa"/>
          </w:tcPr>
          <w:p w14:paraId="4D17624E" w14:textId="77777777" w:rsidR="001200C9" w:rsidRPr="00880C7E" w:rsidRDefault="001200C9" w:rsidP="00D700DA">
            <w:pPr>
              <w:rPr>
                <w:rFonts w:ascii="Verdana" w:hAnsi="Verdana"/>
              </w:rPr>
            </w:pPr>
            <w:r w:rsidRPr="00880C7E">
              <w:rPr>
                <w:rFonts w:ascii="Verdana" w:hAnsi="Verdana"/>
              </w:rPr>
              <w:t>Policy Name</w:t>
            </w:r>
          </w:p>
        </w:tc>
        <w:tc>
          <w:tcPr>
            <w:tcW w:w="6096" w:type="dxa"/>
          </w:tcPr>
          <w:p w14:paraId="152325E7" w14:textId="77777777" w:rsidR="001200C9" w:rsidRPr="00880C7E" w:rsidRDefault="001200C9" w:rsidP="00D700DA">
            <w:pPr>
              <w:rPr>
                <w:rFonts w:ascii="Verdana" w:hAnsi="Verdana"/>
              </w:rPr>
            </w:pPr>
            <w:r w:rsidRPr="00880C7E">
              <w:rPr>
                <w:rFonts w:ascii="Verdana" w:hAnsi="Verdana"/>
              </w:rPr>
              <w:t>Health and Safety Policy</w:t>
            </w:r>
          </w:p>
        </w:tc>
      </w:tr>
      <w:tr w:rsidR="001200C9" w:rsidRPr="00880C7E" w14:paraId="7226576C" w14:textId="77777777" w:rsidTr="432C626F">
        <w:tc>
          <w:tcPr>
            <w:tcW w:w="2470" w:type="dxa"/>
          </w:tcPr>
          <w:p w14:paraId="2707B0B1" w14:textId="77777777" w:rsidR="001200C9" w:rsidRPr="00880C7E" w:rsidRDefault="001200C9" w:rsidP="00D700DA">
            <w:pPr>
              <w:rPr>
                <w:rFonts w:ascii="Verdana" w:hAnsi="Verdana"/>
              </w:rPr>
            </w:pPr>
            <w:r w:rsidRPr="00880C7E">
              <w:rPr>
                <w:rFonts w:ascii="Verdana" w:hAnsi="Verdana"/>
              </w:rPr>
              <w:t>Current Policy Version</w:t>
            </w:r>
          </w:p>
        </w:tc>
        <w:tc>
          <w:tcPr>
            <w:tcW w:w="6096" w:type="dxa"/>
          </w:tcPr>
          <w:p w14:paraId="6D124D24" w14:textId="0ECB72EE" w:rsidR="001200C9" w:rsidRPr="00880C7E" w:rsidRDefault="001200C9" w:rsidP="00D700DA">
            <w:pPr>
              <w:rPr>
                <w:rFonts w:ascii="Verdana" w:hAnsi="Verdana"/>
              </w:rPr>
            </w:pPr>
            <w:r w:rsidRPr="432C626F">
              <w:rPr>
                <w:rFonts w:ascii="Verdana" w:hAnsi="Verdana"/>
              </w:rPr>
              <w:t>2.</w:t>
            </w:r>
            <w:r w:rsidR="37276949" w:rsidRPr="432C626F">
              <w:rPr>
                <w:rFonts w:ascii="Verdana" w:hAnsi="Verdana"/>
              </w:rPr>
              <w:t>5</w:t>
            </w:r>
          </w:p>
        </w:tc>
      </w:tr>
      <w:tr w:rsidR="001200C9" w:rsidRPr="00880C7E" w14:paraId="694CBD44" w14:textId="77777777" w:rsidTr="432C626F">
        <w:tc>
          <w:tcPr>
            <w:tcW w:w="2470" w:type="dxa"/>
          </w:tcPr>
          <w:p w14:paraId="43F4BDB3" w14:textId="77777777" w:rsidR="001200C9" w:rsidRPr="00880C7E" w:rsidRDefault="001200C9" w:rsidP="00D700DA">
            <w:pPr>
              <w:rPr>
                <w:rFonts w:ascii="Verdana" w:hAnsi="Verdana"/>
              </w:rPr>
            </w:pPr>
            <w:r w:rsidRPr="00880C7E">
              <w:rPr>
                <w:rFonts w:ascii="Verdana" w:hAnsi="Verdana"/>
              </w:rPr>
              <w:t>Policy Effective From</w:t>
            </w:r>
          </w:p>
        </w:tc>
        <w:tc>
          <w:tcPr>
            <w:tcW w:w="6096" w:type="dxa"/>
          </w:tcPr>
          <w:p w14:paraId="1F1E526C" w14:textId="4529A474" w:rsidR="001200C9" w:rsidRPr="00880C7E" w:rsidRDefault="00A84E69" w:rsidP="00D700DA">
            <w:pPr>
              <w:rPr>
                <w:rFonts w:ascii="Verdana" w:hAnsi="Verdana"/>
              </w:rPr>
            </w:pPr>
            <w:r w:rsidRPr="00880C7E">
              <w:rPr>
                <w:rFonts w:ascii="Verdana" w:hAnsi="Verdana"/>
              </w:rPr>
              <w:t>1 February 2026</w:t>
            </w:r>
          </w:p>
        </w:tc>
      </w:tr>
      <w:tr w:rsidR="001200C9" w:rsidRPr="00880C7E" w14:paraId="067E07F8" w14:textId="77777777" w:rsidTr="432C626F">
        <w:tc>
          <w:tcPr>
            <w:tcW w:w="2470" w:type="dxa"/>
          </w:tcPr>
          <w:p w14:paraId="4005D735" w14:textId="77777777" w:rsidR="001200C9" w:rsidRPr="00880C7E" w:rsidRDefault="001200C9" w:rsidP="00D700DA">
            <w:pPr>
              <w:rPr>
                <w:rFonts w:ascii="Verdana" w:hAnsi="Verdana"/>
              </w:rPr>
            </w:pPr>
            <w:r w:rsidRPr="00880C7E">
              <w:rPr>
                <w:rFonts w:ascii="Verdana" w:hAnsi="Verdana"/>
              </w:rPr>
              <w:t>Policy Review Date</w:t>
            </w:r>
          </w:p>
        </w:tc>
        <w:tc>
          <w:tcPr>
            <w:tcW w:w="6096" w:type="dxa"/>
          </w:tcPr>
          <w:p w14:paraId="3B1DEF9C" w14:textId="60F85C33" w:rsidR="001200C9" w:rsidRPr="00880C7E" w:rsidRDefault="00095D0E" w:rsidP="00D700DA">
            <w:pPr>
              <w:rPr>
                <w:rFonts w:ascii="Verdana" w:hAnsi="Verdana"/>
              </w:rPr>
            </w:pPr>
            <w:r w:rsidRPr="00880C7E">
              <w:rPr>
                <w:rFonts w:ascii="Verdana" w:hAnsi="Verdana"/>
              </w:rPr>
              <w:t xml:space="preserve">By </w:t>
            </w:r>
            <w:r w:rsidR="001469B3" w:rsidRPr="00880C7E">
              <w:rPr>
                <w:rFonts w:ascii="Verdana" w:hAnsi="Verdana"/>
              </w:rPr>
              <w:t>3</w:t>
            </w:r>
            <w:r w:rsidR="00A84E69" w:rsidRPr="00880C7E">
              <w:rPr>
                <w:rFonts w:ascii="Verdana" w:hAnsi="Verdana"/>
              </w:rPr>
              <w:t>1</w:t>
            </w:r>
            <w:r w:rsidR="001469B3" w:rsidRPr="00880C7E">
              <w:rPr>
                <w:rFonts w:ascii="Verdana" w:hAnsi="Verdana"/>
              </w:rPr>
              <w:t xml:space="preserve"> </w:t>
            </w:r>
            <w:r w:rsidR="00A84E69" w:rsidRPr="00880C7E">
              <w:rPr>
                <w:rFonts w:ascii="Verdana" w:hAnsi="Verdana"/>
              </w:rPr>
              <w:t>January</w:t>
            </w:r>
            <w:r w:rsidR="001469B3" w:rsidRPr="00880C7E">
              <w:rPr>
                <w:rFonts w:ascii="Verdana" w:hAnsi="Verdana"/>
              </w:rPr>
              <w:t xml:space="preserve"> 202</w:t>
            </w:r>
            <w:r w:rsidR="00A84E69" w:rsidRPr="00880C7E">
              <w:rPr>
                <w:rFonts w:ascii="Verdana" w:hAnsi="Verdana"/>
              </w:rPr>
              <w:t>8</w:t>
            </w:r>
          </w:p>
        </w:tc>
      </w:tr>
    </w:tbl>
    <w:p w14:paraId="2C0475D5" w14:textId="77777777" w:rsidR="001200C9" w:rsidRPr="008F1049" w:rsidRDefault="001200C9" w:rsidP="001200C9">
      <w:pPr>
        <w:spacing w:after="0" w:line="240" w:lineRule="auto"/>
        <w:ind w:left="360"/>
        <w:rPr>
          <w:rFonts w:ascii="Verdana" w:hAnsi="Verdana"/>
          <w:sz w:val="20"/>
          <w:szCs w:val="20"/>
        </w:rPr>
      </w:pPr>
    </w:p>
    <w:p w14:paraId="422943D2" w14:textId="14FCA20E" w:rsidR="001200C9" w:rsidRPr="00880C7E" w:rsidRDefault="001200C9" w:rsidP="001200C9">
      <w:pPr>
        <w:spacing w:after="0" w:line="240" w:lineRule="auto"/>
        <w:ind w:left="360"/>
        <w:rPr>
          <w:rFonts w:ascii="Verdana" w:hAnsi="Verdana"/>
          <w:b/>
        </w:rPr>
      </w:pPr>
      <w:r w:rsidRPr="00880C7E">
        <w:rPr>
          <w:rFonts w:ascii="Verdana" w:hAnsi="Verdana"/>
          <w:b/>
        </w:rPr>
        <w:t>Revision Schedule</w:t>
      </w:r>
      <w:r w:rsidR="00880C7E" w:rsidRPr="00880C7E">
        <w:rPr>
          <w:rFonts w:ascii="Verdana" w:hAnsi="Verdana"/>
          <w:b/>
        </w:rPr>
        <w:br/>
      </w:r>
    </w:p>
    <w:tbl>
      <w:tblPr>
        <w:tblStyle w:val="TableGrid"/>
        <w:tblW w:w="8561" w:type="dxa"/>
        <w:tblInd w:w="360" w:type="dxa"/>
        <w:tblCellMar>
          <w:top w:w="57" w:type="dxa"/>
          <w:bottom w:w="57" w:type="dxa"/>
        </w:tblCellMar>
        <w:tblLook w:val="04A0" w:firstRow="1" w:lastRow="0" w:firstColumn="1" w:lastColumn="0" w:noHBand="0" w:noVBand="1"/>
      </w:tblPr>
      <w:tblGrid>
        <w:gridCol w:w="1153"/>
        <w:gridCol w:w="5979"/>
        <w:gridCol w:w="1429"/>
      </w:tblGrid>
      <w:tr w:rsidR="001200C9" w:rsidRPr="00880C7E" w14:paraId="0E2C3E9D" w14:textId="77777777" w:rsidTr="432C626F">
        <w:tc>
          <w:tcPr>
            <w:tcW w:w="1068" w:type="dxa"/>
          </w:tcPr>
          <w:p w14:paraId="441BA827" w14:textId="77777777" w:rsidR="001200C9" w:rsidRPr="00880C7E" w:rsidRDefault="001200C9" w:rsidP="00D700DA">
            <w:pPr>
              <w:pStyle w:val="ListParagraph"/>
              <w:spacing w:after="0" w:line="240" w:lineRule="auto"/>
              <w:ind w:left="0" w:firstLine="0"/>
              <w:contextualSpacing w:val="0"/>
              <w:rPr>
                <w:rFonts w:ascii="Verdana" w:hAnsi="Verdana"/>
                <w:b/>
              </w:rPr>
            </w:pPr>
            <w:r w:rsidRPr="00880C7E">
              <w:rPr>
                <w:rFonts w:ascii="Verdana" w:hAnsi="Verdana"/>
                <w:b/>
              </w:rPr>
              <w:t>Version</w:t>
            </w:r>
          </w:p>
        </w:tc>
        <w:tc>
          <w:tcPr>
            <w:tcW w:w="6080" w:type="dxa"/>
          </w:tcPr>
          <w:p w14:paraId="740ECA57" w14:textId="77777777" w:rsidR="001200C9" w:rsidRPr="00880C7E" w:rsidRDefault="001200C9" w:rsidP="00D700DA">
            <w:pPr>
              <w:pStyle w:val="ListParagraph"/>
              <w:spacing w:after="0" w:line="240" w:lineRule="auto"/>
              <w:ind w:left="0" w:firstLine="0"/>
              <w:contextualSpacing w:val="0"/>
              <w:rPr>
                <w:rFonts w:ascii="Verdana" w:hAnsi="Verdana"/>
                <w:b/>
              </w:rPr>
            </w:pPr>
            <w:r w:rsidRPr="00880C7E">
              <w:rPr>
                <w:rFonts w:ascii="Verdana" w:hAnsi="Verdana"/>
                <w:b/>
              </w:rPr>
              <w:t>Revisions</w:t>
            </w:r>
          </w:p>
        </w:tc>
        <w:tc>
          <w:tcPr>
            <w:tcW w:w="1413" w:type="dxa"/>
          </w:tcPr>
          <w:p w14:paraId="76755434" w14:textId="77777777" w:rsidR="001200C9" w:rsidRPr="00880C7E" w:rsidRDefault="001200C9" w:rsidP="00D700DA">
            <w:pPr>
              <w:pStyle w:val="ListParagraph"/>
              <w:spacing w:after="0" w:line="240" w:lineRule="auto"/>
              <w:ind w:left="0" w:firstLine="0"/>
              <w:contextualSpacing w:val="0"/>
              <w:rPr>
                <w:rFonts w:ascii="Verdana" w:hAnsi="Verdana"/>
                <w:b/>
              </w:rPr>
            </w:pPr>
            <w:r w:rsidRPr="00880C7E">
              <w:rPr>
                <w:rFonts w:ascii="Verdana" w:hAnsi="Verdana"/>
                <w:b/>
              </w:rPr>
              <w:t>By whom</w:t>
            </w:r>
          </w:p>
        </w:tc>
      </w:tr>
      <w:tr w:rsidR="001200C9" w:rsidRPr="00880C7E" w14:paraId="0666C452" w14:textId="77777777" w:rsidTr="432C626F">
        <w:tc>
          <w:tcPr>
            <w:tcW w:w="1068" w:type="dxa"/>
          </w:tcPr>
          <w:p w14:paraId="526AB9EB"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1.0</w:t>
            </w:r>
          </w:p>
        </w:tc>
        <w:tc>
          <w:tcPr>
            <w:tcW w:w="6080" w:type="dxa"/>
          </w:tcPr>
          <w:p w14:paraId="636B3EA4"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Original document produced</w:t>
            </w:r>
          </w:p>
        </w:tc>
        <w:tc>
          <w:tcPr>
            <w:tcW w:w="1413" w:type="dxa"/>
          </w:tcPr>
          <w:p w14:paraId="244F045A"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Competent Person</w:t>
            </w:r>
          </w:p>
        </w:tc>
      </w:tr>
      <w:tr w:rsidR="001200C9" w:rsidRPr="00880C7E" w14:paraId="7D36F3EA" w14:textId="77777777" w:rsidTr="432C626F">
        <w:tc>
          <w:tcPr>
            <w:tcW w:w="1068" w:type="dxa"/>
          </w:tcPr>
          <w:p w14:paraId="2F86262D"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2.0</w:t>
            </w:r>
          </w:p>
        </w:tc>
        <w:tc>
          <w:tcPr>
            <w:tcW w:w="6080" w:type="dxa"/>
          </w:tcPr>
          <w:p w14:paraId="48736284"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Revisions and updates reflecting additional Board input and recommendations from internal audit review.</w:t>
            </w:r>
          </w:p>
        </w:tc>
        <w:tc>
          <w:tcPr>
            <w:tcW w:w="1413" w:type="dxa"/>
          </w:tcPr>
          <w:p w14:paraId="0D973773" w14:textId="77777777" w:rsidR="001200C9" w:rsidRPr="00880C7E" w:rsidRDefault="001200C9" w:rsidP="00D700DA">
            <w:pPr>
              <w:pStyle w:val="ListParagraph"/>
              <w:spacing w:after="0" w:line="240" w:lineRule="auto"/>
              <w:ind w:left="0" w:firstLine="0"/>
              <w:contextualSpacing w:val="0"/>
              <w:rPr>
                <w:rFonts w:ascii="Verdana" w:hAnsi="Verdana"/>
              </w:rPr>
            </w:pPr>
            <w:r w:rsidRPr="00880C7E">
              <w:rPr>
                <w:rFonts w:ascii="Verdana" w:hAnsi="Verdana"/>
              </w:rPr>
              <w:t>DFO</w:t>
            </w:r>
          </w:p>
        </w:tc>
      </w:tr>
      <w:tr w:rsidR="001200C9" w:rsidRPr="00880C7E" w14:paraId="385CA542" w14:textId="77777777" w:rsidTr="432C626F">
        <w:tc>
          <w:tcPr>
            <w:tcW w:w="1068" w:type="dxa"/>
          </w:tcPr>
          <w:p w14:paraId="4038609A" w14:textId="40CED7E9" w:rsidR="001200C9" w:rsidRPr="00880C7E" w:rsidRDefault="001469B3" w:rsidP="00D700DA">
            <w:pPr>
              <w:pStyle w:val="ListParagraph"/>
              <w:spacing w:after="0" w:line="240" w:lineRule="auto"/>
              <w:ind w:left="0" w:firstLine="0"/>
              <w:contextualSpacing w:val="0"/>
              <w:rPr>
                <w:rFonts w:ascii="Verdana" w:hAnsi="Verdana"/>
              </w:rPr>
            </w:pPr>
            <w:r w:rsidRPr="00880C7E">
              <w:rPr>
                <w:rFonts w:ascii="Verdana" w:hAnsi="Verdana"/>
              </w:rPr>
              <w:t>2.1</w:t>
            </w:r>
          </w:p>
        </w:tc>
        <w:tc>
          <w:tcPr>
            <w:tcW w:w="6080" w:type="dxa"/>
          </w:tcPr>
          <w:p w14:paraId="4DDED2E1" w14:textId="6D0C51DE" w:rsidR="001200C9" w:rsidRPr="00880C7E" w:rsidRDefault="001469B3" w:rsidP="00D700DA">
            <w:pPr>
              <w:pStyle w:val="ListParagraph"/>
              <w:spacing w:after="0" w:line="240" w:lineRule="auto"/>
              <w:ind w:left="0" w:firstLine="0"/>
              <w:contextualSpacing w:val="0"/>
              <w:rPr>
                <w:rFonts w:ascii="Verdana" w:hAnsi="Verdana"/>
              </w:rPr>
            </w:pPr>
            <w:r w:rsidRPr="00880C7E">
              <w:rPr>
                <w:rFonts w:ascii="Verdana" w:hAnsi="Verdana"/>
              </w:rPr>
              <w:t>Minor revisions and updates</w:t>
            </w:r>
          </w:p>
        </w:tc>
        <w:tc>
          <w:tcPr>
            <w:tcW w:w="1413" w:type="dxa"/>
          </w:tcPr>
          <w:p w14:paraId="784CE0E5" w14:textId="58E2ED33" w:rsidR="001200C9" w:rsidRPr="00880C7E" w:rsidRDefault="001469B3" w:rsidP="00D700DA">
            <w:pPr>
              <w:pStyle w:val="ListParagraph"/>
              <w:spacing w:after="0" w:line="240" w:lineRule="auto"/>
              <w:ind w:left="0" w:firstLine="0"/>
              <w:contextualSpacing w:val="0"/>
              <w:rPr>
                <w:rFonts w:ascii="Verdana" w:hAnsi="Verdana"/>
              </w:rPr>
            </w:pPr>
            <w:r w:rsidRPr="00880C7E">
              <w:rPr>
                <w:rFonts w:ascii="Verdana" w:hAnsi="Verdana"/>
              </w:rPr>
              <w:t>TCSD</w:t>
            </w:r>
          </w:p>
        </w:tc>
      </w:tr>
      <w:tr w:rsidR="001200C9" w:rsidRPr="00880C7E" w14:paraId="1804CB95" w14:textId="77777777" w:rsidTr="432C626F">
        <w:tc>
          <w:tcPr>
            <w:tcW w:w="1068" w:type="dxa"/>
          </w:tcPr>
          <w:p w14:paraId="553C9663" w14:textId="23A73875" w:rsidR="001200C9" w:rsidRPr="00880C7E" w:rsidRDefault="00C62579" w:rsidP="00D700DA">
            <w:pPr>
              <w:pStyle w:val="ListParagraph"/>
              <w:spacing w:after="0" w:line="240" w:lineRule="auto"/>
              <w:ind w:left="0" w:firstLine="0"/>
              <w:contextualSpacing w:val="0"/>
              <w:rPr>
                <w:rFonts w:ascii="Verdana" w:hAnsi="Verdana"/>
              </w:rPr>
            </w:pPr>
            <w:r w:rsidRPr="00880C7E">
              <w:rPr>
                <w:rFonts w:ascii="Verdana" w:hAnsi="Verdana"/>
              </w:rPr>
              <w:t>2.2</w:t>
            </w:r>
          </w:p>
        </w:tc>
        <w:tc>
          <w:tcPr>
            <w:tcW w:w="6080" w:type="dxa"/>
          </w:tcPr>
          <w:p w14:paraId="106243C3" w14:textId="61782AB9" w:rsidR="001200C9" w:rsidRPr="00880C7E" w:rsidRDefault="00C62579" w:rsidP="00D700DA">
            <w:pPr>
              <w:pStyle w:val="ListParagraph"/>
              <w:spacing w:after="0" w:line="240" w:lineRule="auto"/>
              <w:ind w:left="0" w:firstLine="0"/>
              <w:contextualSpacing w:val="0"/>
              <w:rPr>
                <w:rFonts w:ascii="Verdana" w:hAnsi="Verdana"/>
              </w:rPr>
            </w:pPr>
            <w:r w:rsidRPr="00880C7E">
              <w:rPr>
                <w:rFonts w:ascii="Verdana" w:hAnsi="Verdana"/>
              </w:rPr>
              <w:t>Minor revisions and updates</w:t>
            </w:r>
          </w:p>
        </w:tc>
        <w:tc>
          <w:tcPr>
            <w:tcW w:w="1413" w:type="dxa"/>
          </w:tcPr>
          <w:p w14:paraId="24CE439E" w14:textId="2B87D5F6" w:rsidR="001200C9" w:rsidRPr="00880C7E" w:rsidRDefault="00C62579" w:rsidP="00D700DA">
            <w:pPr>
              <w:pStyle w:val="ListParagraph"/>
              <w:spacing w:after="0" w:line="240" w:lineRule="auto"/>
              <w:ind w:left="0" w:firstLine="0"/>
              <w:contextualSpacing w:val="0"/>
              <w:rPr>
                <w:rFonts w:ascii="Verdana" w:hAnsi="Verdana"/>
              </w:rPr>
            </w:pPr>
            <w:r w:rsidRPr="00880C7E">
              <w:rPr>
                <w:rFonts w:ascii="Verdana" w:hAnsi="Verdana"/>
              </w:rPr>
              <w:t>TCSD</w:t>
            </w:r>
          </w:p>
        </w:tc>
      </w:tr>
      <w:tr w:rsidR="00862329" w:rsidRPr="00880C7E" w14:paraId="5D66CE9E" w14:textId="77777777" w:rsidTr="432C626F">
        <w:tc>
          <w:tcPr>
            <w:tcW w:w="1068" w:type="dxa"/>
          </w:tcPr>
          <w:p w14:paraId="0B02DC0A" w14:textId="7B31B8AC" w:rsidR="00862329" w:rsidRPr="00880C7E" w:rsidRDefault="00862329" w:rsidP="00862329">
            <w:pPr>
              <w:pStyle w:val="ListParagraph"/>
              <w:spacing w:after="0" w:line="240" w:lineRule="auto"/>
              <w:ind w:left="0" w:firstLine="0"/>
              <w:contextualSpacing w:val="0"/>
              <w:rPr>
                <w:rFonts w:ascii="Verdana" w:hAnsi="Verdana"/>
              </w:rPr>
            </w:pPr>
            <w:r w:rsidRPr="00880C7E">
              <w:rPr>
                <w:rFonts w:ascii="Verdana" w:hAnsi="Verdana"/>
              </w:rPr>
              <w:t>2.3</w:t>
            </w:r>
          </w:p>
        </w:tc>
        <w:tc>
          <w:tcPr>
            <w:tcW w:w="6080" w:type="dxa"/>
          </w:tcPr>
          <w:p w14:paraId="07C014FF" w14:textId="3E3CD951" w:rsidR="00862329" w:rsidRPr="00880C7E" w:rsidRDefault="00862329" w:rsidP="00862329">
            <w:pPr>
              <w:pStyle w:val="ListParagraph"/>
              <w:spacing w:after="0" w:line="240" w:lineRule="auto"/>
              <w:ind w:left="0" w:firstLine="0"/>
              <w:contextualSpacing w:val="0"/>
              <w:rPr>
                <w:rFonts w:ascii="Verdana" w:hAnsi="Verdana"/>
              </w:rPr>
            </w:pPr>
            <w:r w:rsidRPr="00880C7E">
              <w:rPr>
                <w:rFonts w:ascii="Verdana" w:hAnsi="Verdana"/>
              </w:rPr>
              <w:t>Minor revisions and updates</w:t>
            </w:r>
          </w:p>
        </w:tc>
        <w:tc>
          <w:tcPr>
            <w:tcW w:w="1413" w:type="dxa"/>
          </w:tcPr>
          <w:p w14:paraId="6EF2384D" w14:textId="3F69DFAD" w:rsidR="00862329" w:rsidRPr="00880C7E" w:rsidRDefault="00862329" w:rsidP="00862329">
            <w:pPr>
              <w:pStyle w:val="ListParagraph"/>
              <w:spacing w:after="0" w:line="240" w:lineRule="auto"/>
              <w:ind w:left="0" w:firstLine="0"/>
              <w:contextualSpacing w:val="0"/>
              <w:rPr>
                <w:rFonts w:ascii="Verdana" w:hAnsi="Verdana"/>
              </w:rPr>
            </w:pPr>
            <w:r w:rsidRPr="00880C7E">
              <w:rPr>
                <w:rFonts w:ascii="Verdana" w:hAnsi="Verdana"/>
              </w:rPr>
              <w:t>TCSD</w:t>
            </w:r>
          </w:p>
        </w:tc>
      </w:tr>
      <w:tr w:rsidR="00862329" w:rsidRPr="00880C7E" w14:paraId="1F101D89" w14:textId="77777777" w:rsidTr="432C626F">
        <w:tc>
          <w:tcPr>
            <w:tcW w:w="1068" w:type="dxa"/>
          </w:tcPr>
          <w:p w14:paraId="4C116BEC" w14:textId="5FD0B068" w:rsidR="00862329" w:rsidRPr="00880C7E" w:rsidRDefault="00A84E69" w:rsidP="00862329">
            <w:pPr>
              <w:pStyle w:val="ListParagraph"/>
              <w:spacing w:after="0" w:line="240" w:lineRule="auto"/>
              <w:ind w:left="0" w:firstLine="0"/>
              <w:contextualSpacing w:val="0"/>
              <w:rPr>
                <w:rFonts w:ascii="Verdana" w:hAnsi="Verdana"/>
              </w:rPr>
            </w:pPr>
            <w:r w:rsidRPr="00880C7E">
              <w:rPr>
                <w:rFonts w:ascii="Verdana" w:hAnsi="Verdana"/>
              </w:rPr>
              <w:t>2.4</w:t>
            </w:r>
          </w:p>
        </w:tc>
        <w:tc>
          <w:tcPr>
            <w:tcW w:w="6080" w:type="dxa"/>
          </w:tcPr>
          <w:p w14:paraId="5366257C" w14:textId="74D62615" w:rsidR="00862329" w:rsidRPr="00880C7E" w:rsidRDefault="00A84E69" w:rsidP="00A84E69">
            <w:pPr>
              <w:pStyle w:val="ListParagraph"/>
              <w:spacing w:after="0" w:line="240" w:lineRule="auto"/>
              <w:ind w:left="0" w:firstLine="0"/>
              <w:contextualSpacing w:val="0"/>
              <w:jc w:val="left"/>
              <w:rPr>
                <w:rFonts w:ascii="Verdana" w:hAnsi="Verdana"/>
              </w:rPr>
            </w:pPr>
            <w:r w:rsidRPr="00880C7E">
              <w:rPr>
                <w:rFonts w:ascii="Verdana" w:hAnsi="Verdana"/>
              </w:rPr>
              <w:t>Update to para 4.1 following internal audit recommendation</w:t>
            </w:r>
          </w:p>
        </w:tc>
        <w:tc>
          <w:tcPr>
            <w:tcW w:w="1413" w:type="dxa"/>
          </w:tcPr>
          <w:p w14:paraId="10B8DD57" w14:textId="1A1D8909" w:rsidR="00862329" w:rsidRPr="00880C7E" w:rsidRDefault="00A84E69" w:rsidP="00862329">
            <w:pPr>
              <w:pStyle w:val="ListParagraph"/>
              <w:spacing w:after="0" w:line="240" w:lineRule="auto"/>
              <w:ind w:left="0" w:firstLine="0"/>
              <w:contextualSpacing w:val="0"/>
              <w:rPr>
                <w:rFonts w:ascii="Verdana" w:hAnsi="Verdana"/>
              </w:rPr>
            </w:pPr>
            <w:r w:rsidRPr="00880C7E">
              <w:rPr>
                <w:rFonts w:ascii="Verdana" w:hAnsi="Verdana"/>
              </w:rPr>
              <w:t>COO</w:t>
            </w:r>
          </w:p>
        </w:tc>
      </w:tr>
      <w:tr w:rsidR="00862329" w:rsidRPr="00880C7E" w14:paraId="4EA30B56" w14:textId="77777777" w:rsidTr="432C626F">
        <w:tc>
          <w:tcPr>
            <w:tcW w:w="1068" w:type="dxa"/>
          </w:tcPr>
          <w:p w14:paraId="4849DCD2" w14:textId="10203AA1" w:rsidR="00862329" w:rsidRPr="00880C7E" w:rsidRDefault="2833C332" w:rsidP="00862329">
            <w:pPr>
              <w:pStyle w:val="ListParagraph"/>
              <w:spacing w:after="0" w:line="240" w:lineRule="auto"/>
              <w:ind w:left="0" w:firstLine="0"/>
              <w:contextualSpacing w:val="0"/>
              <w:rPr>
                <w:rFonts w:ascii="Verdana" w:hAnsi="Verdana"/>
              </w:rPr>
            </w:pPr>
            <w:r w:rsidRPr="432C626F">
              <w:rPr>
                <w:rFonts w:ascii="Verdana" w:hAnsi="Verdana"/>
              </w:rPr>
              <w:t>2.5</w:t>
            </w:r>
          </w:p>
        </w:tc>
        <w:tc>
          <w:tcPr>
            <w:tcW w:w="6080" w:type="dxa"/>
          </w:tcPr>
          <w:p w14:paraId="54A94C24" w14:textId="59DC2FA3" w:rsidR="00862329" w:rsidRPr="00880C7E" w:rsidRDefault="2833C332" w:rsidP="00862329">
            <w:pPr>
              <w:pStyle w:val="ListParagraph"/>
              <w:spacing w:after="0" w:line="240" w:lineRule="auto"/>
              <w:ind w:left="0" w:firstLine="0"/>
              <w:contextualSpacing w:val="0"/>
              <w:rPr>
                <w:rFonts w:ascii="Verdana" w:hAnsi="Verdana"/>
              </w:rPr>
            </w:pPr>
            <w:r w:rsidRPr="432C626F">
              <w:rPr>
                <w:rFonts w:ascii="Verdana" w:hAnsi="Verdana"/>
              </w:rPr>
              <w:t>Update to Section 3 to include responsibilities of the Trust Estates Lead</w:t>
            </w:r>
          </w:p>
        </w:tc>
        <w:tc>
          <w:tcPr>
            <w:tcW w:w="1413" w:type="dxa"/>
          </w:tcPr>
          <w:p w14:paraId="7DDAD179" w14:textId="15B4FE6D" w:rsidR="00862329" w:rsidRPr="00880C7E" w:rsidRDefault="2833C332" w:rsidP="00862329">
            <w:pPr>
              <w:pStyle w:val="ListParagraph"/>
              <w:spacing w:after="0" w:line="240" w:lineRule="auto"/>
              <w:ind w:left="0" w:firstLine="0"/>
              <w:contextualSpacing w:val="0"/>
              <w:rPr>
                <w:rFonts w:ascii="Verdana" w:hAnsi="Verdana"/>
              </w:rPr>
            </w:pPr>
            <w:r w:rsidRPr="432C626F">
              <w:rPr>
                <w:rFonts w:ascii="Verdana" w:hAnsi="Verdana"/>
              </w:rPr>
              <w:t>COO</w:t>
            </w:r>
          </w:p>
        </w:tc>
      </w:tr>
      <w:tr w:rsidR="00862329" w:rsidRPr="00880C7E" w14:paraId="6E224659" w14:textId="77777777" w:rsidTr="432C626F">
        <w:tc>
          <w:tcPr>
            <w:tcW w:w="1068" w:type="dxa"/>
          </w:tcPr>
          <w:p w14:paraId="5FF6D029"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1A9CA0A5"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05CB9510"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47678769" w14:textId="77777777" w:rsidTr="432C626F">
        <w:tc>
          <w:tcPr>
            <w:tcW w:w="1068" w:type="dxa"/>
          </w:tcPr>
          <w:p w14:paraId="33F1C5BC"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5D3B8B72"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50617F90"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19FB22B9" w14:textId="77777777" w:rsidTr="432C626F">
        <w:tc>
          <w:tcPr>
            <w:tcW w:w="1068" w:type="dxa"/>
          </w:tcPr>
          <w:p w14:paraId="69C2A7A6"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6BA689B5"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6EFDCF00"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1996432D" w14:textId="77777777" w:rsidTr="432C626F">
        <w:tc>
          <w:tcPr>
            <w:tcW w:w="1068" w:type="dxa"/>
          </w:tcPr>
          <w:p w14:paraId="526FC017"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242904A1"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54A358E6"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2C880988" w14:textId="77777777" w:rsidTr="432C626F">
        <w:tc>
          <w:tcPr>
            <w:tcW w:w="1068" w:type="dxa"/>
          </w:tcPr>
          <w:p w14:paraId="349BE419"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5B8A6940"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67F491BE"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2C80638B" w14:textId="77777777" w:rsidTr="432C626F">
        <w:tc>
          <w:tcPr>
            <w:tcW w:w="1068" w:type="dxa"/>
          </w:tcPr>
          <w:p w14:paraId="79E26245"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7CE0F649"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5D554D39"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44874F84" w14:textId="77777777" w:rsidTr="432C626F">
        <w:tc>
          <w:tcPr>
            <w:tcW w:w="1068" w:type="dxa"/>
          </w:tcPr>
          <w:p w14:paraId="54778B2F"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0923730D"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30017F8F" w14:textId="77777777" w:rsidR="00862329" w:rsidRPr="00880C7E" w:rsidRDefault="00862329" w:rsidP="00862329">
            <w:pPr>
              <w:pStyle w:val="ListParagraph"/>
              <w:spacing w:after="0" w:line="240" w:lineRule="auto"/>
              <w:ind w:left="0" w:firstLine="0"/>
              <w:contextualSpacing w:val="0"/>
              <w:rPr>
                <w:rFonts w:ascii="Verdana" w:hAnsi="Verdana"/>
              </w:rPr>
            </w:pPr>
          </w:p>
        </w:tc>
      </w:tr>
      <w:tr w:rsidR="00862329" w:rsidRPr="00880C7E" w14:paraId="5067894C" w14:textId="77777777" w:rsidTr="432C626F">
        <w:tc>
          <w:tcPr>
            <w:tcW w:w="1068" w:type="dxa"/>
          </w:tcPr>
          <w:p w14:paraId="16024822"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6080" w:type="dxa"/>
          </w:tcPr>
          <w:p w14:paraId="7095F745" w14:textId="77777777" w:rsidR="00862329" w:rsidRPr="00880C7E" w:rsidRDefault="00862329" w:rsidP="00862329">
            <w:pPr>
              <w:pStyle w:val="ListParagraph"/>
              <w:spacing w:after="0" w:line="240" w:lineRule="auto"/>
              <w:ind w:left="0" w:firstLine="0"/>
              <w:contextualSpacing w:val="0"/>
              <w:rPr>
                <w:rFonts w:ascii="Verdana" w:hAnsi="Verdana"/>
              </w:rPr>
            </w:pPr>
          </w:p>
        </w:tc>
        <w:tc>
          <w:tcPr>
            <w:tcW w:w="1413" w:type="dxa"/>
          </w:tcPr>
          <w:p w14:paraId="443C17BD" w14:textId="77777777" w:rsidR="00862329" w:rsidRPr="00880C7E" w:rsidRDefault="00862329" w:rsidP="00862329">
            <w:pPr>
              <w:pStyle w:val="ListParagraph"/>
              <w:spacing w:after="0" w:line="240" w:lineRule="auto"/>
              <w:ind w:left="0" w:firstLine="0"/>
              <w:contextualSpacing w:val="0"/>
              <w:rPr>
                <w:rFonts w:ascii="Verdana" w:hAnsi="Verdana"/>
              </w:rPr>
            </w:pPr>
          </w:p>
        </w:tc>
      </w:tr>
    </w:tbl>
    <w:p w14:paraId="2F0B0812" w14:textId="77777777" w:rsidR="001200C9" w:rsidRPr="008F1049" w:rsidRDefault="001200C9" w:rsidP="001200C9">
      <w:pPr>
        <w:pStyle w:val="ListParagraph"/>
        <w:spacing w:after="120" w:line="360" w:lineRule="auto"/>
        <w:ind w:left="360" w:firstLine="0"/>
        <w:contextualSpacing w:val="0"/>
        <w:rPr>
          <w:rFonts w:ascii="Verdana" w:hAnsi="Verdana"/>
          <w:sz w:val="20"/>
          <w:szCs w:val="20"/>
        </w:rPr>
      </w:pPr>
    </w:p>
    <w:p w14:paraId="2BFF7C16" w14:textId="77777777" w:rsidR="001200C9" w:rsidRPr="001200C9" w:rsidRDefault="001200C9" w:rsidP="001200C9">
      <w:pPr>
        <w:spacing w:after="120" w:line="360" w:lineRule="auto"/>
        <w:rPr>
          <w:rFonts w:ascii="Verdana" w:hAnsi="Verdana"/>
          <w:sz w:val="20"/>
          <w:szCs w:val="20"/>
        </w:rPr>
      </w:pPr>
    </w:p>
    <w:sectPr w:rsidR="001200C9" w:rsidRPr="001200C9" w:rsidSect="00183BC8">
      <w:headerReference w:type="default" r:id="rId11"/>
      <w:footerReference w:type="default" r:id="rId12"/>
      <w:headerReference w:type="first" r:id="rId13"/>
      <w:footerReference w:type="first" r:id="rId14"/>
      <w:pgSz w:w="11906" w:h="16838"/>
      <w:pgMar w:top="1702" w:right="1274" w:bottom="1440" w:left="1440"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FAE0" w14:textId="77777777" w:rsidR="00876516" w:rsidRDefault="00876516" w:rsidP="00F83F81">
      <w:pPr>
        <w:spacing w:after="0" w:line="240" w:lineRule="auto"/>
      </w:pPr>
      <w:r>
        <w:separator/>
      </w:r>
    </w:p>
  </w:endnote>
  <w:endnote w:type="continuationSeparator" w:id="0">
    <w:p w14:paraId="104CA7A4" w14:textId="77777777" w:rsidR="00876516" w:rsidRDefault="00876516"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760332"/>
      <w:docPartObj>
        <w:docPartGallery w:val="Page Numbers (Bottom of Page)"/>
        <w:docPartUnique/>
      </w:docPartObj>
    </w:sdtPr>
    <w:sdtEndPr>
      <w:rPr>
        <w:color w:val="7F7F7F" w:themeColor="background1" w:themeShade="7F"/>
        <w:spacing w:val="60"/>
      </w:rPr>
    </w:sdtEndPr>
    <w:sdtContent>
      <w:p w14:paraId="32EC14CD" w14:textId="7750B07D" w:rsidR="00190288" w:rsidRDefault="001902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0CFA52" w14:textId="77777777" w:rsidR="00190288" w:rsidRDefault="00190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80B3" w14:textId="5332E7CF" w:rsidR="003E76C1" w:rsidRDefault="00183BC8">
    <w:pPr>
      <w:pStyle w:val="Footer"/>
    </w:pPr>
    <w:r>
      <w:rPr>
        <w:noProof/>
      </w:rPr>
      <mc:AlternateContent>
        <mc:Choice Requires="wps">
          <w:drawing>
            <wp:anchor distT="45720" distB="45720" distL="114300" distR="114300" simplePos="0" relativeHeight="251664384" behindDoc="1" locked="0" layoutInCell="1" allowOverlap="1" wp14:anchorId="662D3A39" wp14:editId="3FAFAE97">
              <wp:simplePos x="0" y="0"/>
              <wp:positionH relativeFrom="column">
                <wp:posOffset>3715385</wp:posOffset>
              </wp:positionH>
              <wp:positionV relativeFrom="paragraph">
                <wp:posOffset>-51435</wp:posOffset>
              </wp:positionV>
              <wp:extent cx="2981325" cy="241300"/>
              <wp:effectExtent l="0" t="0" r="0" b="6350"/>
              <wp:wrapTight wrapText="bothSides">
                <wp:wrapPolygon edited="0">
                  <wp:start x="414" y="0"/>
                  <wp:lineTo x="414" y="20463"/>
                  <wp:lineTo x="21117" y="20463"/>
                  <wp:lineTo x="21117" y="0"/>
                  <wp:lineTo x="414"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41300"/>
                      </a:xfrm>
                      <a:prstGeom prst="rect">
                        <a:avLst/>
                      </a:prstGeom>
                      <a:noFill/>
                      <a:ln w="9525">
                        <a:noFill/>
                        <a:miter lim="800000"/>
                        <a:headEnd/>
                        <a:tailEnd/>
                      </a:ln>
                    </wps:spPr>
                    <wps:txbx>
                      <w:txbxContent>
                        <w:p w14:paraId="7E9713C5" w14:textId="77777777" w:rsidR="003E76C1" w:rsidRPr="001878EB" w:rsidRDefault="003E76C1" w:rsidP="003E76C1">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Pr>
                              <w:rFonts w:ascii="Verdana" w:hAnsi="Verdana"/>
                              <w:b/>
                              <w:bCs/>
                              <w:i/>
                              <w:iCs/>
                              <w:color w:val="FFFFFF" w:themeColor="background1"/>
                              <w:sz w:val="16"/>
                              <w:szCs w:val="16"/>
                            </w:rPr>
                            <w:t xml:space="preserve">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62D3A39">
              <v:stroke joinstyle="miter"/>
              <v:path gradientshapeok="t" o:connecttype="rect"/>
            </v:shapetype>
            <v:shape id="Text Box 16" style="position:absolute;margin-left:292.55pt;margin-top:-4.05pt;width:234.75pt;height:1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">
              <v:textbox>
                <w:txbxContent>
                  <w:p w:rsidRPr="001878EB" w:rsidR="003E76C1" w:rsidP="003E76C1" w:rsidRDefault="003E76C1" w14:paraId="7E9713C5" w14:textId="77777777">
                    <w:pPr>
                      <w:rPr>
                        <w:rFonts w:ascii="Verdana" w:hAnsi="Verdana"/>
                        <w:b/>
                        <w:bCs/>
                        <w:i/>
                        <w:iCs/>
                        <w:color w:val="FFFFFF" w:themeColor="background1"/>
                        <w:sz w:val="16"/>
                        <w:szCs w:val="16"/>
                      </w:rPr>
                    </w:pPr>
                    <w:r w:rsidRPr="001878EB">
                      <w:rPr>
                        <w:rFonts w:ascii="Verdana" w:hAnsi="Verdana"/>
                        <w:b/>
                        <w:bCs/>
                        <w:i/>
                        <w:iCs/>
                        <w:color w:val="FFFFFF" w:themeColor="background1"/>
                        <w:sz w:val="16"/>
                        <w:szCs w:val="16"/>
                      </w:rPr>
                      <w:t>Learn, Love and Achieve, Together with</w:t>
                    </w:r>
                    <w:r>
                      <w:rPr>
                        <w:rFonts w:ascii="Verdana" w:hAnsi="Verdana"/>
                        <w:b/>
                        <w:bCs/>
                        <w:i/>
                        <w:iCs/>
                        <w:color w:val="FFFFFF" w:themeColor="background1"/>
                        <w:sz w:val="16"/>
                        <w:szCs w:val="16"/>
                      </w:rPr>
                      <w:t xml:space="preserve"> Jesus</w:t>
                    </w:r>
                  </w:p>
                </w:txbxContent>
              </v:textbox>
              <w10:wrap type="tight"/>
            </v:shape>
          </w:pict>
        </mc:Fallback>
      </mc:AlternateContent>
    </w:r>
    <w:r>
      <w:rPr>
        <w:noProof/>
      </w:rPr>
      <w:drawing>
        <wp:anchor distT="0" distB="0" distL="114300" distR="114300" simplePos="0" relativeHeight="251662336" behindDoc="0" locked="0" layoutInCell="1" allowOverlap="1" wp14:anchorId="741F4E07" wp14:editId="7A757629">
          <wp:simplePos x="0" y="0"/>
          <wp:positionH relativeFrom="margin">
            <wp:posOffset>-971550</wp:posOffset>
          </wp:positionH>
          <wp:positionV relativeFrom="margin">
            <wp:posOffset>8879840</wp:posOffset>
          </wp:positionV>
          <wp:extent cx="7611110" cy="732790"/>
          <wp:effectExtent l="0" t="0" r="889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611110" cy="7327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D90D" w14:textId="77777777" w:rsidR="00876516" w:rsidRDefault="00876516" w:rsidP="00F83F81">
      <w:pPr>
        <w:spacing w:after="0" w:line="240" w:lineRule="auto"/>
      </w:pPr>
      <w:r>
        <w:separator/>
      </w:r>
    </w:p>
  </w:footnote>
  <w:footnote w:type="continuationSeparator" w:id="0">
    <w:p w14:paraId="292212A2" w14:textId="77777777" w:rsidR="00876516" w:rsidRDefault="00876516"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7E8" w14:textId="0074390B" w:rsidR="00F83F81" w:rsidRDefault="00F83F81" w:rsidP="00F83F8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553D" w14:textId="3ED50E38" w:rsidR="003E76C1" w:rsidRDefault="00183BC8">
    <w:pPr>
      <w:pStyle w:val="Header"/>
    </w:pPr>
    <w:r>
      <w:rPr>
        <w:noProof/>
      </w:rPr>
      <w:drawing>
        <wp:anchor distT="0" distB="0" distL="114300" distR="114300" simplePos="0" relativeHeight="251660288" behindDoc="0" locked="0" layoutInCell="1" allowOverlap="1" wp14:anchorId="38F4949B" wp14:editId="10592F9C">
          <wp:simplePos x="0" y="0"/>
          <wp:positionH relativeFrom="margin">
            <wp:posOffset>4638675</wp:posOffset>
          </wp:positionH>
          <wp:positionV relativeFrom="margin">
            <wp:posOffset>-974725</wp:posOffset>
          </wp:positionV>
          <wp:extent cx="1903706" cy="735712"/>
          <wp:effectExtent l="0" t="0" r="1905" b="7620"/>
          <wp:wrapSquare wrapText="bothSides"/>
          <wp:docPr id="335100062" name="Picture 3351000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3706" cy="7357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55B"/>
    <w:multiLevelType w:val="multilevel"/>
    <w:tmpl w:val="BFD62C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A3E88"/>
    <w:multiLevelType w:val="multilevel"/>
    <w:tmpl w:val="A9B2956C"/>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30729E"/>
    <w:multiLevelType w:val="multilevel"/>
    <w:tmpl w:val="4A028D3A"/>
    <w:lvl w:ilvl="0">
      <w:start w:val="1"/>
      <w:numFmt w:val="decimal"/>
      <w:lvlText w:val="%1"/>
      <w:lvlJc w:val="left"/>
      <w:pPr>
        <w:ind w:left="5111"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5287CE1"/>
    <w:multiLevelType w:val="hybridMultilevel"/>
    <w:tmpl w:val="0BA05E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C03AD"/>
    <w:multiLevelType w:val="multilevel"/>
    <w:tmpl w:val="61D20B4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25F41A6"/>
    <w:multiLevelType w:val="multilevel"/>
    <w:tmpl w:val="61D20B4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EA8734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1126167">
    <w:abstractNumId w:val="1"/>
  </w:num>
  <w:num w:numId="2" w16cid:durableId="1832406492">
    <w:abstractNumId w:val="6"/>
  </w:num>
  <w:num w:numId="3" w16cid:durableId="742484037">
    <w:abstractNumId w:val="2"/>
  </w:num>
  <w:num w:numId="4" w16cid:durableId="501627954">
    <w:abstractNumId w:val="0"/>
  </w:num>
  <w:num w:numId="5" w16cid:durableId="507988490">
    <w:abstractNumId w:val="4"/>
  </w:num>
  <w:num w:numId="6" w16cid:durableId="858813014">
    <w:abstractNumId w:val="5"/>
  </w:num>
  <w:num w:numId="7" w16cid:durableId="1400134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C9"/>
    <w:rsid w:val="00002117"/>
    <w:rsid w:val="00095D0E"/>
    <w:rsid w:val="000B5208"/>
    <w:rsid w:val="000E720E"/>
    <w:rsid w:val="001200C9"/>
    <w:rsid w:val="001469B3"/>
    <w:rsid w:val="00181C18"/>
    <w:rsid w:val="00183BC8"/>
    <w:rsid w:val="00190288"/>
    <w:rsid w:val="001B67F2"/>
    <w:rsid w:val="0020312F"/>
    <w:rsid w:val="00220279"/>
    <w:rsid w:val="002344D3"/>
    <w:rsid w:val="00296BC5"/>
    <w:rsid w:val="002C237B"/>
    <w:rsid w:val="003215BE"/>
    <w:rsid w:val="003E2ECA"/>
    <w:rsid w:val="003E743C"/>
    <w:rsid w:val="003E76C1"/>
    <w:rsid w:val="003F4E7A"/>
    <w:rsid w:val="00425A2A"/>
    <w:rsid w:val="004605F9"/>
    <w:rsid w:val="00482911"/>
    <w:rsid w:val="004D1FFC"/>
    <w:rsid w:val="004F62B7"/>
    <w:rsid w:val="005008DA"/>
    <w:rsid w:val="00552614"/>
    <w:rsid w:val="005D3AE9"/>
    <w:rsid w:val="005D3E73"/>
    <w:rsid w:val="005E0180"/>
    <w:rsid w:val="006F6E45"/>
    <w:rsid w:val="0071614C"/>
    <w:rsid w:val="007A0280"/>
    <w:rsid w:val="007F643F"/>
    <w:rsid w:val="00841472"/>
    <w:rsid w:val="008601C5"/>
    <w:rsid w:val="00862329"/>
    <w:rsid w:val="00876516"/>
    <w:rsid w:val="00880C7E"/>
    <w:rsid w:val="008E6BE1"/>
    <w:rsid w:val="00985B44"/>
    <w:rsid w:val="00A84E69"/>
    <w:rsid w:val="00AC014F"/>
    <w:rsid w:val="00B619FB"/>
    <w:rsid w:val="00C62579"/>
    <w:rsid w:val="00CF3D56"/>
    <w:rsid w:val="00D5479F"/>
    <w:rsid w:val="00D621BF"/>
    <w:rsid w:val="00DB76E5"/>
    <w:rsid w:val="00DC5A27"/>
    <w:rsid w:val="00E53A0A"/>
    <w:rsid w:val="00EA663E"/>
    <w:rsid w:val="00ED799C"/>
    <w:rsid w:val="00F568E2"/>
    <w:rsid w:val="00F81329"/>
    <w:rsid w:val="00F83F81"/>
    <w:rsid w:val="016F6B68"/>
    <w:rsid w:val="059D214E"/>
    <w:rsid w:val="0AD51E93"/>
    <w:rsid w:val="14624B43"/>
    <w:rsid w:val="1573E08E"/>
    <w:rsid w:val="2833C332"/>
    <w:rsid w:val="299A62AA"/>
    <w:rsid w:val="2AB8E2E0"/>
    <w:rsid w:val="2F7FC04D"/>
    <w:rsid w:val="37276949"/>
    <w:rsid w:val="3E917882"/>
    <w:rsid w:val="432C626F"/>
    <w:rsid w:val="45A10F20"/>
    <w:rsid w:val="52AF54CB"/>
    <w:rsid w:val="5614ADAD"/>
    <w:rsid w:val="5730C92D"/>
    <w:rsid w:val="67199FD1"/>
    <w:rsid w:val="7AA08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D17F7"/>
  <w15:chartTrackingRefBased/>
  <w15:docId w15:val="{56BF73FC-26F7-4A09-96B7-3EA668BE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200C9"/>
    <w:pPr>
      <w:keepNext/>
      <w:keepLines/>
      <w:spacing w:after="141"/>
      <w:ind w:left="576" w:hanging="576"/>
      <w:outlineLvl w:val="1"/>
    </w:pPr>
    <w:rPr>
      <w:rFonts w:ascii="Calibri" w:eastAsia="Calibri" w:hAnsi="Calibri" w:cs="Calibri"/>
      <w:color w:val="000000"/>
      <w:u w:val="single" w:color="000000"/>
      <w:lang w:eastAsia="en-GB"/>
    </w:rPr>
  </w:style>
  <w:style w:type="paragraph" w:styleId="Heading3">
    <w:name w:val="heading 3"/>
    <w:basedOn w:val="Normal"/>
    <w:next w:val="Normal"/>
    <w:link w:val="Heading3Char"/>
    <w:uiPriority w:val="9"/>
    <w:semiHidden/>
    <w:unhideWhenUsed/>
    <w:qFormat/>
    <w:rsid w:val="001200C9"/>
    <w:pPr>
      <w:keepNext/>
      <w:keepLines/>
      <w:spacing w:before="40" w:after="0" w:line="248" w:lineRule="auto"/>
      <w:ind w:left="720" w:hanging="720"/>
      <w:jc w:val="both"/>
      <w:outlineLvl w:val="2"/>
    </w:pPr>
    <w:rPr>
      <w:rFonts w:asciiTheme="majorHAnsi" w:eastAsiaTheme="majorEastAsia" w:hAnsiTheme="majorHAnsi" w:cstheme="majorBidi"/>
      <w:color w:val="1F3763" w:themeColor="accent1" w:themeShade="7F"/>
      <w:sz w:val="24"/>
      <w:szCs w:val="24"/>
      <w:lang w:eastAsia="en-GB"/>
    </w:rPr>
  </w:style>
  <w:style w:type="paragraph" w:styleId="Heading4">
    <w:name w:val="heading 4"/>
    <w:basedOn w:val="Normal"/>
    <w:next w:val="Normal"/>
    <w:link w:val="Heading4Char"/>
    <w:uiPriority w:val="9"/>
    <w:semiHidden/>
    <w:unhideWhenUsed/>
    <w:qFormat/>
    <w:rsid w:val="001200C9"/>
    <w:pPr>
      <w:keepNext/>
      <w:keepLines/>
      <w:spacing w:before="40" w:after="0" w:line="248" w:lineRule="auto"/>
      <w:ind w:left="864" w:hanging="864"/>
      <w:jc w:val="both"/>
      <w:outlineLvl w:val="3"/>
    </w:pPr>
    <w:rPr>
      <w:rFonts w:asciiTheme="majorHAnsi" w:eastAsiaTheme="majorEastAsia" w:hAnsiTheme="majorHAnsi" w:cstheme="majorBidi"/>
      <w:i/>
      <w:iCs/>
      <w:color w:val="2F5496" w:themeColor="accent1" w:themeShade="BF"/>
      <w:lang w:eastAsia="en-GB"/>
    </w:rPr>
  </w:style>
  <w:style w:type="paragraph" w:styleId="Heading5">
    <w:name w:val="heading 5"/>
    <w:basedOn w:val="Normal"/>
    <w:next w:val="Normal"/>
    <w:link w:val="Heading5Char"/>
    <w:uiPriority w:val="9"/>
    <w:semiHidden/>
    <w:unhideWhenUsed/>
    <w:qFormat/>
    <w:rsid w:val="001200C9"/>
    <w:pPr>
      <w:keepNext/>
      <w:keepLines/>
      <w:spacing w:before="40" w:after="0" w:line="248" w:lineRule="auto"/>
      <w:ind w:left="1008" w:hanging="1008"/>
      <w:jc w:val="both"/>
      <w:outlineLvl w:val="4"/>
    </w:pPr>
    <w:rPr>
      <w:rFonts w:asciiTheme="majorHAnsi" w:eastAsiaTheme="majorEastAsia" w:hAnsiTheme="majorHAnsi" w:cstheme="majorBidi"/>
      <w:color w:val="2F5496" w:themeColor="accent1" w:themeShade="BF"/>
      <w:lang w:eastAsia="en-GB"/>
    </w:rPr>
  </w:style>
  <w:style w:type="paragraph" w:styleId="Heading6">
    <w:name w:val="heading 6"/>
    <w:basedOn w:val="Normal"/>
    <w:next w:val="Normal"/>
    <w:link w:val="Heading6Char"/>
    <w:uiPriority w:val="9"/>
    <w:semiHidden/>
    <w:unhideWhenUsed/>
    <w:qFormat/>
    <w:rsid w:val="001200C9"/>
    <w:pPr>
      <w:keepNext/>
      <w:keepLines/>
      <w:spacing w:before="40" w:after="0" w:line="248" w:lineRule="auto"/>
      <w:ind w:left="1152" w:hanging="1152"/>
      <w:jc w:val="both"/>
      <w:outlineLvl w:val="5"/>
    </w:pPr>
    <w:rPr>
      <w:rFonts w:asciiTheme="majorHAnsi" w:eastAsiaTheme="majorEastAsia" w:hAnsiTheme="majorHAnsi" w:cstheme="majorBidi"/>
      <w:color w:val="1F3763" w:themeColor="accent1" w:themeShade="7F"/>
      <w:lang w:eastAsia="en-GB"/>
    </w:rPr>
  </w:style>
  <w:style w:type="paragraph" w:styleId="Heading7">
    <w:name w:val="heading 7"/>
    <w:basedOn w:val="Normal"/>
    <w:next w:val="Normal"/>
    <w:link w:val="Heading7Char"/>
    <w:uiPriority w:val="9"/>
    <w:semiHidden/>
    <w:unhideWhenUsed/>
    <w:qFormat/>
    <w:rsid w:val="001200C9"/>
    <w:pPr>
      <w:keepNext/>
      <w:keepLines/>
      <w:spacing w:before="40" w:after="0" w:line="248" w:lineRule="auto"/>
      <w:ind w:left="1296" w:hanging="1296"/>
      <w:jc w:val="both"/>
      <w:outlineLvl w:val="6"/>
    </w:pPr>
    <w:rPr>
      <w:rFonts w:asciiTheme="majorHAnsi" w:eastAsiaTheme="majorEastAsia" w:hAnsiTheme="majorHAnsi" w:cstheme="majorBidi"/>
      <w:i/>
      <w:iCs/>
      <w:color w:val="1F3763" w:themeColor="accent1" w:themeShade="7F"/>
      <w:lang w:eastAsia="en-GB"/>
    </w:rPr>
  </w:style>
  <w:style w:type="paragraph" w:styleId="Heading8">
    <w:name w:val="heading 8"/>
    <w:basedOn w:val="Normal"/>
    <w:next w:val="Normal"/>
    <w:link w:val="Heading8Char"/>
    <w:uiPriority w:val="9"/>
    <w:semiHidden/>
    <w:unhideWhenUsed/>
    <w:qFormat/>
    <w:rsid w:val="001200C9"/>
    <w:pPr>
      <w:keepNext/>
      <w:keepLines/>
      <w:spacing w:before="40" w:after="0" w:line="248" w:lineRule="auto"/>
      <w:ind w:left="1440" w:hanging="1440"/>
      <w:jc w:val="both"/>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1200C9"/>
    <w:pPr>
      <w:keepNext/>
      <w:keepLines/>
      <w:spacing w:before="40" w:after="0" w:line="248" w:lineRule="auto"/>
      <w:ind w:left="1584" w:hanging="1584"/>
      <w:jc w:val="both"/>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styleId="NoSpacing">
    <w:name w:val="No Spacing"/>
    <w:uiPriority w:val="1"/>
    <w:qFormat/>
    <w:rsid w:val="001200C9"/>
    <w:pPr>
      <w:spacing w:after="0" w:line="240" w:lineRule="auto"/>
      <w:ind w:left="100" w:hanging="8"/>
      <w:jc w:val="both"/>
    </w:pPr>
    <w:rPr>
      <w:rFonts w:ascii="Calibri" w:eastAsia="Calibri" w:hAnsi="Calibri" w:cs="Calibri"/>
      <w:color w:val="000000"/>
      <w:lang w:eastAsia="en-GB"/>
    </w:rPr>
  </w:style>
  <w:style w:type="character" w:customStyle="1" w:styleId="Heading1Char">
    <w:name w:val="Heading 1 Char"/>
    <w:basedOn w:val="DefaultParagraphFont"/>
    <w:link w:val="Heading1"/>
    <w:rsid w:val="001200C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200C9"/>
    <w:pPr>
      <w:outlineLvl w:val="9"/>
    </w:pPr>
    <w:rPr>
      <w:lang w:val="en-US"/>
    </w:rPr>
  </w:style>
  <w:style w:type="character" w:customStyle="1" w:styleId="Heading2Char">
    <w:name w:val="Heading 2 Char"/>
    <w:basedOn w:val="DefaultParagraphFont"/>
    <w:link w:val="Heading2"/>
    <w:uiPriority w:val="9"/>
    <w:rsid w:val="001200C9"/>
    <w:rPr>
      <w:rFonts w:ascii="Calibri" w:eastAsia="Calibri" w:hAnsi="Calibri" w:cs="Calibri"/>
      <w:color w:val="000000"/>
      <w:u w:val="single" w:color="000000"/>
      <w:lang w:eastAsia="en-GB"/>
    </w:rPr>
  </w:style>
  <w:style w:type="character" w:customStyle="1" w:styleId="Heading3Char">
    <w:name w:val="Heading 3 Char"/>
    <w:basedOn w:val="DefaultParagraphFont"/>
    <w:link w:val="Heading3"/>
    <w:uiPriority w:val="9"/>
    <w:semiHidden/>
    <w:rsid w:val="001200C9"/>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uiPriority w:val="9"/>
    <w:semiHidden/>
    <w:rsid w:val="001200C9"/>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1200C9"/>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1200C9"/>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1200C9"/>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1200C9"/>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1200C9"/>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basedOn w:val="Normal"/>
    <w:uiPriority w:val="34"/>
    <w:qFormat/>
    <w:rsid w:val="001200C9"/>
    <w:pPr>
      <w:spacing w:after="30" w:line="248" w:lineRule="auto"/>
      <w:ind w:left="720" w:hanging="8"/>
      <w:contextualSpacing/>
      <w:jc w:val="both"/>
    </w:pPr>
    <w:rPr>
      <w:rFonts w:ascii="Calibri" w:eastAsia="Calibri" w:hAnsi="Calibri" w:cs="Calibri"/>
      <w:color w:val="000000"/>
      <w:lang w:eastAsia="en-GB"/>
    </w:rPr>
  </w:style>
  <w:style w:type="table" w:styleId="TableGrid">
    <w:name w:val="Table Grid"/>
    <w:basedOn w:val="TableNormal"/>
    <w:uiPriority w:val="39"/>
    <w:rsid w:val="001200C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200C9"/>
    <w:pPr>
      <w:spacing w:after="100"/>
    </w:pPr>
  </w:style>
  <w:style w:type="character" w:styleId="Hyperlink">
    <w:name w:val="Hyperlink"/>
    <w:basedOn w:val="DefaultParagraphFont"/>
    <w:uiPriority w:val="99"/>
    <w:unhideWhenUsed/>
    <w:rsid w:val="001200C9"/>
    <w:rPr>
      <w:color w:val="0563C1" w:themeColor="hyperlink"/>
      <w:u w:val="single"/>
    </w:rPr>
  </w:style>
  <w:style w:type="paragraph" w:styleId="Revision">
    <w:name w:val="Revision"/>
    <w:hidden/>
    <w:uiPriority w:val="99"/>
    <w:semiHidden/>
    <w:rsid w:val="00B6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boothroyd\Liverpool%20Diocesan%20Schools%20Trust\LDST%20Intranet%20(Centre)%20-%20Documents\Finance\_Secure\Meetings\2022-03-29%20-%20Board%20of%20Directors\LDST%20Templat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9" ma:contentTypeDescription="Create a new document." ma:contentTypeScope="" ma:versionID="26689a41e3e9d15b367af4d4e1750e4b">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b733f252321b8bf4d20be6a7d75dd827"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6D5C2-CF9B-4E7B-A7F2-616458B74AA4}"/>
</file>

<file path=customXml/itemProps2.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dd469c6f-c13f-4f7e-a574-872364f840a7"/>
    <ds:schemaRef ds:uri="c82a2bb0-abcd-42e9-a025-7dfb7b996e9f"/>
  </ds:schemaRefs>
</ds:datastoreItem>
</file>

<file path=customXml/itemProps3.xml><?xml version="1.0" encoding="utf-8"?>
<ds:datastoreItem xmlns:ds="http://schemas.openxmlformats.org/officeDocument/2006/customXml" ds:itemID="{7B125AD4-A7FD-4667-8760-54CCC948A331}">
  <ds:schemaRefs>
    <ds:schemaRef ds:uri="http://schemas.openxmlformats.org/officeDocument/2006/bibliography"/>
  </ds:schemaRefs>
</ds:datastoreItem>
</file>

<file path=customXml/itemProps4.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LDST Template Document</Template>
  <TotalTime>0</TotalTime>
  <Pages>1</Pages>
  <Words>2092</Words>
  <Characters>11423</Characters>
  <Application>Microsoft Office Word</Application>
  <DocSecurity>0</DocSecurity>
  <Lines>456</Lines>
  <Paragraphs>177</Paragraphs>
  <ScaleCrop>false</ScaleCrop>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Boothroyd</dc:creator>
  <cp:keywords/>
  <dc:description/>
  <cp:lastModifiedBy>Kathryn Holcroft</cp:lastModifiedBy>
  <cp:revision>2</cp:revision>
  <cp:lastPrinted>2023-05-12T07:15:00Z</cp:lastPrinted>
  <dcterms:created xsi:type="dcterms:W3CDTF">2026-02-04T07:03:00Z</dcterms:created>
  <dcterms:modified xsi:type="dcterms:W3CDTF">2026-02-04T07:03:00Z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